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العجلوني
</w:t>
      </w:r>
    </w:p>
    <w:p>
      <w:pPr/>
      <w:r>
        <w:rPr/>
        <w:t xml:space="preserve">العجلوني  اسماعيل بن محمد بن عبد الهادي الجراحي العجلوني الدمشقي، أبو الفداء: محدث الشام في ايامه. مولده بعجلون ومنشأه ووفاته بدمشق. له كتب منها (كشف الخفاء ومزيل الالباس عما اشتهر من الاحاديث على السنة الناس - ط) مجلدان، و (الفيض الجاري) في شرح صحيحي البخاري، لم يتمه، و (شرح الحديث المسلسل بالدمشقين) و (عقد الجوهر الثمين - ط) اربعون حديثا، و (حلية أهل الفضل والكمال باتصال الاسانيد بكمل الرجال) في تراجم مشايخه.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2026-09-20T17:21:35+03:00</dcterms:created>
  <dcterms:modified xsi:type="dcterms:W3CDTF">2026-09-20T17:21:35+03:00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