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شروس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شروس الصنعاني
</w:t>
      </w:r>
    </w:p>
    <w:p>
      <w:pPr/>
      <w:r>
        <w:rPr/>
        <w:t xml:space="preserve">بكر بن شروس الصنعاني. ضعفه الفسوي.</w:t>
      </w:r>
    </w:p>
    <w:p/>
    <w:p>
      <w:pPr/>
      <w:r>
        <w:rPr/>
        <w:t xml:space="preserve">ويقال هو ابن الشرود.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شرود، صنعاني 
</w:t>
      </w:r>
    </w:p>
    <w:p>
      <w:pPr/>
      <w:r>
        <w:rPr/>
        <w:t xml:space="preserve">بكر بن شرود، صنعاني. </w:t>
      </w:r>
    </w:p>
    <w:p/>
    <w:p>
      <w:pPr/>
      <w:r>
        <w:rPr/>
        <w:t xml:space="preserve">قال ابن معين: رأيته، ليس بثقةٍ.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2026-07-28T10:15:51+03:00</dcterms:created>
  <dcterms:modified xsi:type="dcterms:W3CDTF">2026-07-28T10:15:51+03:00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