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رفاعة بن الحارث المذحجي
</w:t>
      </w:r>
    </w:p>
    <w:p>
      <w:pPr>
        <w:jc w:val="start"/>
        <w:bidi/>
      </w:pPr>
      <w:r>
        <w:rPr>
          <w:rFonts w:ascii="arial" w:hAnsi="arial" w:eastAsia="arial" w:cs="arial"/>
          <w:sz w:val="28"/>
          <w:szCs w:val="28"/>
          <w:b w:val="1"/>
          <w:bCs w:val="1"/>
          <w:rtl/>
        </w:rPr>
        <w:t xml:space="preserve">عباس بن رفاعة بن الحارث المذحجي
</w:t>
      </w:r>
    </w:p>
    <w:p>
      <w:pPr/>
      <w:r>
        <w:rPr/>
        <w:t xml:space="preserve">عباس بن رفاعة بن الحارث المذحجي من أهل رية.</w:t>
      </w:r>
    </w:p>
    <w:p/>
    <w:p>
      <w:pPr/>
      <w:r>
        <w:rPr/>
        <w:t xml:space="preserve">كان: فقيها، زاهدا قد نبذ الدنيا. وأراد الحكم بن هشام أن يوليه قضاء الجماعة بقرطبة، ففر منه، ولحق بالثغر الأقصى. فعقبه هنالك ينتمون إلى مراد. ومن ولده بدروقة. يونس بن محفوظ قاضيها؟ ذكره: إسحاق القيني.</w:t>
      </w:r>
    </w:p>
    <w:p/>
    <w:p>
      <w:pPr>
        <w:jc w:val="start"/>
        <w:bidi/>
      </w:pPr>
      <w:r>
        <w:rPr>
          <w:sz w:val="24"/>
          <w:szCs w:val="24"/>
          <w:b w:val="1"/>
          <w:bCs w:val="1"/>
          <w:rtl/>
        </w:rPr>
        <w:t xml:space="preserve">
تاريخ علماء الأندلس،( مكتبة الخانجي - القاهرة،1988،ط 2،ج 1،ص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2026-10-14T16:54:54+03:00</dcterms:created>
  <dcterms:modified xsi:type="dcterms:W3CDTF">2026-10-14T16:54:54+03:00</dcterms:modified>
</cp:coreProperties>
</file>

<file path=docProps/custom.xml><?xml version="1.0" encoding="utf-8"?>
<Properties xmlns="http://schemas.openxmlformats.org/officeDocument/2006/custom-properties" xmlns:vt="http://schemas.openxmlformats.org/officeDocument/2006/docPropsVTypes"/>
</file>