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محمد بن أبي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محمد بن أبي منصور
</w:t>
      </w:r>
    </w:p>
    <w:p>
      <w:pPr/>
      <w:r>
        <w:rPr/>
        <w:t xml:space="preserve">أصبغ بن محمد بن أبي منصور. بلغنا أن النبي صلى الله عليه وسلم قال: إذا بلغكم عنى ما تقشعر منه جلودكم وتشمئز منه قلوبكم فردوه.</w:t>
      </w:r>
    </w:p>
    <w:p/>
    <w:p>
      <w:pPr/>
      <w:r>
        <w:rPr/>
        <w:t xml:space="preserve">رواه عنه</w:t>
      </w:r>
    </w:p>
    <w:p/>
    <w:p>
      <w:pPr/>
      <w:r>
        <w:rPr/>
        <w:t xml:space="preserve">عمرو بن الحارث.</w:t>
      </w:r>
    </w:p>
    <w:p/>
    <w:p>
      <w:pPr/>
      <w:r>
        <w:rPr/>
        <w:t xml:space="preserve">قال البيهقي: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2026-07-29T07:26:26+03:00</dcterms:created>
  <dcterms:modified xsi:type="dcterms:W3CDTF">2026-07-29T07:26:26+03:00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