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محمد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محمد بن عمران
</w:t>
      </w:r>
    </w:p>
    <w:p>
      <w:pPr/>
      <w:r>
        <w:rPr/>
        <w:t xml:space="preserve">عبد الجبار بن محمد بن عمران من أهل طليطلة. رحل فسمع من سحنون ونظرائه من أهل وقته.</w:t>
      </w:r>
    </w:p>
    <w:p/>
    <w:p>
      <w:pPr/>
      <w:r>
        <w:rPr/>
        <w:t xml:space="preserve">وكان: صاحب رواية كثيرة وعبادة وكان</w:t>
      </w:r>
    </w:p>
    <w:p/>
    <w:p>
      <w:pPr/>
      <w:r>
        <w:rPr/>
        <w:t xml:space="preserve">من أهل الفتيا. من كتاب: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2026-10-14T15:40:11+03:00</dcterms:created>
  <dcterms:modified xsi:type="dcterms:W3CDTF">2026-10-14T15:40:11+03:00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