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هارون، أبو جعفر البلدي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هارون، أبو جعفر البلدي
</w:t>
      </w:r>
    </w:p>
    <w:p>
      <w:pPr/>
      <w:r>
        <w:rPr/>
        <w:t xml:space="preserve">أحمد بن هارون، أبو جعفر البلدي. رماه ابن عدي.</w:t>
      </w:r>
    </w:p>
    <w:p/>
    <w:p>
      <w:pPr/>
      <w:r>
        <w:rPr/>
        <w:t xml:space="preserve">كذاب متهم.</w:t>
      </w:r>
    </w:p>
    <w:p/>
    <w:p>
      <w:pPr/>
      <w:r>
        <w:rPr/>
        <w:t xml:space="preserve">واتهمه أبو عروبة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هارون، أبو جعفر البلدي
</w:t>
      </w:r>
    </w:p>
    <w:p>
      <w:pPr/>
      <w:r>
        <w:rPr/>
        <w:t xml:space="preserve">أحمد بن هارون، أبو جعفر البلدي: كذاب، رآه ابن عدي.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2026-07-28T05:14:00+03:00</dcterms:created>
  <dcterms:modified xsi:type="dcterms:W3CDTF">2026-07-28T05:14:00+03:00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