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التميمي
</w:t>
      </w:r>
    </w:p>
    <w:p>
      <w:pPr>
        <w:jc w:val="start"/>
        <w:bidi/>
      </w:pPr>
      <w:r>
        <w:rPr>
          <w:rFonts w:ascii="arial" w:hAnsi="arial" w:eastAsia="arial" w:cs="arial"/>
          <w:sz w:val="28"/>
          <w:szCs w:val="28"/>
          <w:b w:val="1"/>
          <w:bCs w:val="1"/>
          <w:rtl/>
        </w:rPr>
        <w:t xml:space="preserve">إسماعيل التميمي
</w:t>
      </w:r>
    </w:p>
    <w:p>
      <w:pPr/>
      <w:r>
        <w:rPr/>
        <w:t xml:space="preserve">إسماعيل التميمي  اسماعيل بن محمد بن حامد التيمي، أبو إبراهيم: من دعاة الباطنية. له عند الطائفة الدرزية مقام كبير. وهم يكنون عنه بالنفس (بسكون الفاء) ويلقبونه بالمحتبي والوزير الثاني. وله في كتب عقائدهم القاب اخرى غريبة، منها (النفس الكلي) و (المشيئة) و (ذومعة) و (التالي) و (داعي الامام) وكان من رجال الحاكم بامر الله الفاطمي، ومن ناشري دعوته في ايامه وبعده. وله كتب ورسائل، منها (تقسيم العلوم) كتبه بامر حمزة بن علي (راجع ترجمته) ورسالة (الزناد والشمعة) و (الرشد والهداية) و (شعر النفس) وهو منظموات له. </w:t>
      </w:r>
    </w:p>
    <w:p>
      <w:pPr>
        <w:jc w:val="start"/>
        <w:bidi/>
      </w:pPr>
      <w:r>
        <w:rPr>
          <w:sz w:val="24"/>
          <w:szCs w:val="24"/>
          <w:b w:val="1"/>
          <w:bCs w:val="1"/>
          <w:rtl/>
        </w:rPr>
        <w:t xml:space="preserve">
الأعلام،(دار العلم للملايين - بيروت،2002،ط 15،ج 1،ص 323)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2026-09-20T16:05:17+03:00</dcterms:created>
  <dcterms:modified xsi:type="dcterms:W3CDTF">2026-09-20T16:05:17+03:00</dcterms:modified>
</cp:coreProperties>
</file>

<file path=docProps/custom.xml><?xml version="1.0" encoding="utf-8"?>
<Properties xmlns="http://schemas.openxmlformats.org/officeDocument/2006/custom-properties" xmlns:vt="http://schemas.openxmlformats.org/officeDocument/2006/docPropsVTypes"/>
</file>