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حبيب
</w:t>
      </w:r>
    </w:p>
    <w:p>
      <w:pPr/>
      <w:r>
        <w:rPr/>
        <w:t xml:space="preserve">عبد الله بن محمد بن عبد الرحمن بن حبيب من أهل أشونة؛ يكنى: أبا القاسم.</w:t>
      </w:r>
    </w:p>
    <w:p/>
    <w:p>
      <w:pPr/>
      <w:r>
        <w:rPr/>
        <w:t xml:space="preserve">سمع: بقرطبة من عبد الملك بن أبي دليم، وأحمد بن سعيد.</w:t>
      </w:r>
    </w:p>
    <w:p/>
    <w:p>
      <w:pPr/>
      <w:r>
        <w:rPr/>
        <w:t xml:space="preserve">وكان حافظا للشروط، بصيرا بعللها، مشاركا في علم الأدب. توفي (رحمه الله): في المحرم سنة سبع وسبعين وثلاث مائة. وهو: ابن أربع وستين سنة. مولده في شوال سنة ثلاث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2026-10-14T12:11:15+03:00</dcterms:created>
  <dcterms:modified xsi:type="dcterms:W3CDTF">2026-10-14T12:11:15+03:00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