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 بن عبد الجبار بن حارث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 بن عبد الجبار بن حارث بن محمد
</w:t>
      </w:r>
    </w:p>
    <w:p>
      <w:pPr/>
      <w:r>
        <w:rPr/>
        <w:t xml:space="preserve">حارث بن عبد الجبار بن حارث بن محمد من أهل إستيجة؛ يكنى: أبا الأصبغ.</w:t>
      </w:r>
    </w:p>
    <w:p/>
    <w:p>
      <w:pPr/>
      <w:r>
        <w:rPr/>
        <w:t xml:space="preserve">سمع: بإلبيرة من محمد بن فطيس، وعثمان بن جرير، معسهل بن العطار، وبداح بن يحيى.</w:t>
      </w:r>
    </w:p>
    <w:p/>
    <w:p>
      <w:pPr/>
      <w:r>
        <w:rPr/>
        <w:t xml:space="preserve">وسمع: بقرطبة من أحمد بن خالد، ومحمد بن عبد الملك بن أيمن وغيرهما، وكان: صالحا ثقة. توفى (رحمه الله): في النصف من المحرم سنة ست وستين وثلاث مائة. أخبرن بذلك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2026-10-13T22:21:53+03:00</dcterms:created>
  <dcterms:modified xsi:type="dcterms:W3CDTF">2026-10-13T22:21:53+03:00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