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بن أحمد بن يوسف بن مسى بن حصيب: يعرف بابن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أحمد بن يوسف بن مسى بن حصيب: يعرف بابن الإمام
</w:t>
      </w:r>
    </w:p>
    <w:p>
      <w:pPr/>
      <w:r>
        <w:rPr/>
        <w:t xml:space="preserve">أحمد بن موسى بن أحمد بن يوسف بن مسى بن حصيب: يعرف بابن الإمام من أهل تطيلة؛ يكنى: أبا بكر.</w:t>
      </w:r>
    </w:p>
    <w:p/>
    <w:p>
      <w:pPr/>
      <w:r>
        <w:rPr/>
        <w:t xml:space="preserve">سمع من عمه عمر بن يوسف، ومحمد بن شبل وولى القضاء بموضعه. وكان فقيها عاما ولد سنة سبع وعشرين وثلاث مائة، وتوفي: يوم الأربعاء؛ ودفن يوم الخميس ضحا صدر شعبان سنة ست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2026-10-13T17:38:23+03:00</dcterms:created>
  <dcterms:modified xsi:type="dcterms:W3CDTF">2026-10-13T17:38:23+03:00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