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عبيد الله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عبيد الله المعافري
</w:t>
      </w:r>
    </w:p>
    <w:p>
      <w:pPr/>
      <w:r>
        <w:rPr/>
        <w:t xml:space="preserve">إبراهيم بن عبيد الله المعافري من أهل إشبيلية؛ يكنى: أبا إسحاق.</w:t>
      </w:r>
    </w:p>
    <w:p/>
    <w:p>
      <w:pPr/>
      <w:r>
        <w:rPr/>
        <w:t xml:space="preserve">سمع: من أحمد بن خالد، ومحمد بن فطيس الإلبيري، وأحمد بن بشر بن الأعبس، ونظرائهم. وكان - مع روايته للحديث -: حافظا للغة، بصيرا بالشعر، مطبوعا فيه.</w:t>
      </w:r>
    </w:p>
    <w:p/>
    <w:p>
      <w:pPr/>
      <w:r>
        <w:rPr/>
        <w:t xml:space="preserve">ورحل عن حاضرة إشبيلية: فسكن بادية له بغربها؛ إلى أن توفي: سنة اثنتين وستين وثلاث مائة. من كتاب محمد بن حسن القاضي الزبيدي رحمه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2026-10-13T13:15:07+03:00</dcterms:created>
  <dcterms:modified xsi:type="dcterms:W3CDTF">2026-10-13T13:15:07+03:00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