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المرادي
</w:t>
      </w:r>
    </w:p>
    <w:p>
      <w:pPr/>
      <w:r>
        <w:rPr/>
        <w:t xml:space="preserve">إبراهيم بن محمد المرادي من أهل قرطبة.</w:t>
      </w:r>
    </w:p>
    <w:p/>
    <w:p>
      <w:pPr/>
      <w:r>
        <w:rPr/>
        <w:t xml:space="preserve">قال خالد: سمع: من قاسم بن محمد، وغيره.</w:t>
      </w:r>
    </w:p>
    <w:p/>
    <w:p>
      <w:pPr/>
      <w:r>
        <w:rPr/>
        <w:t xml:space="preserve">وقال ابن الحارث: توفي سنة ست وعشرين وثلاث مائة. من كتاب محمد ابن أحمد بخطه.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2026-10-13T12:11:48+03:00</dcterms:created>
  <dcterms:modified xsi:type="dcterms:W3CDTF">2026-10-13T12:11:48+03:00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