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الغماري
</w:t>
      </w:r>
    </w:p>
    <w:p>
      <w:pPr>
        <w:jc w:val="start"/>
        <w:bidi/>
      </w:pPr>
      <w:r>
        <w:rPr>
          <w:rFonts w:ascii="arial" w:hAnsi="arial" w:eastAsia="arial" w:cs="arial"/>
          <w:sz w:val="28"/>
          <w:szCs w:val="28"/>
          <w:b w:val="1"/>
          <w:bCs w:val="1"/>
          <w:rtl/>
        </w:rPr>
        <w:t xml:space="preserve">الغماري
</w:t>
      </w:r>
    </w:p>
    <w:p>
      <w:pPr/>
      <w:r>
        <w:rPr/>
        <w:t xml:space="preserve">الغماري  يحيى بن أبي بكر بن عبد الله بن محمد الغماري التونسي، النحوي، أبو زكرياء. قرأ العربية في تونس على ابن عصفور، وبدمشق على ابن مالك، وبالقاهرة على البهاء ابن النحاس، ومع ذلك كانت تصانيفه في النحو مزجاة.</w:t>
      </w:r>
    </w:p>
    <w:p/>
    <w:p>
      <w:pPr/>
      <w:r>
        <w:rPr/>
        <w:t xml:space="preserve">مات في 23 ذي الحجة 724.</w:t>
      </w:r>
    </w:p>
    <w:p/>
    <w:p>
      <w:pPr/>
      <w:r>
        <w:rPr/>
        <w:t xml:space="preserve">المصدر:</w:t>
      </w:r>
    </w:p>
    <w:p/>
    <w:p>
      <w:pPr/>
      <w:r>
        <w:rPr/>
        <w:t xml:space="preserve">- بغية الوعاة 2/ 331.</w:t>
      </w:r>
    </w:p>
    <w:p>
      <w:pPr>
        <w:jc w:val="start"/>
        <w:bidi/>
      </w:pPr>
      <w:r>
        <w:rPr>
          <w:sz w:val="24"/>
          <w:szCs w:val="24"/>
          <w:b w:val="1"/>
          <w:bCs w:val="1"/>
          <w:rtl/>
        </w:rPr>
        <w:t xml:space="preserve">
تراجم المؤلفين التونسيين،(دار الغرب الإسلامي، بيروت - لبنان،1994،ط 2،ج 5،ص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2026-10-13T11:17:25+03:00</dcterms:created>
  <dcterms:modified xsi:type="dcterms:W3CDTF">2026-10-13T11:17:25+03:00</dcterms:modified>
</cp:coreProperties>
</file>

<file path=docProps/custom.xml><?xml version="1.0" encoding="utf-8"?>
<Properties xmlns="http://schemas.openxmlformats.org/officeDocument/2006/custom-properties" xmlns:vt="http://schemas.openxmlformats.org/officeDocument/2006/docPropsVTypes"/>
</file>