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شعبان
</w:t>
      </w:r>
    </w:p>
    <w:p>
      <w:pPr>
        <w:jc w:val="start"/>
        <w:bidi/>
      </w:pPr>
      <w:r>
        <w:rPr>
          <w:rFonts w:ascii="arial" w:hAnsi="arial" w:eastAsia="arial" w:cs="arial"/>
          <w:sz w:val="28"/>
          <w:szCs w:val="28"/>
          <w:b w:val="1"/>
          <w:bCs w:val="1"/>
          <w:rtl/>
        </w:rPr>
        <w:t xml:space="preserve">ابن شعبان
</w:t>
      </w:r>
    </w:p>
    <w:p>
      <w:pPr/>
      <w:r>
        <w:rPr/>
        <w:t xml:space="preserve">ابن شعبان  إبراهيم بن شعبان، الأديب الكاتب، الشاعر.</w:t>
      </w:r>
    </w:p>
    <w:p/>
    <w:p>
      <w:pPr/>
      <w:r>
        <w:rPr/>
        <w:t xml:space="preserve">ولد بتونس سنة 1309/ 1891، ودخل جامع الزيتونة سنة 1321، ولما ظهرت الأفكار الإصلاحية بين التلاميذ التي هدفها إصلاح التعليم بجامع الزيتونة، كان في طليعة الداعين لها خصوصا بعد أن أحرز على شهادة المدرسة الخلدونية في العلوم الرياضية واللغة الفرنسية.</w:t>
      </w:r>
    </w:p>
    <w:p/>
    <w:p>
      <w:pPr/>
      <w:r>
        <w:rPr/>
        <w:t xml:space="preserve">ولما قررت النظارة العلمية التخلص من رءوس التلامذة الداعين إلى إصلاح التعليم كان المترجم من بين المرفوضين من المعهد الزيتوني، بعد أن تقدم للامتحان النهائي، فانقطع عن العلم، واحترف التجارة، وأخيرا التحق بإدارة العلوم والمعارف، وباشر التعليم بمدارسها.</w:t>
      </w:r>
    </w:p>
    <w:p/>
    <w:p>
      <w:pPr/>
      <w:r>
        <w:rPr/>
        <w:t xml:space="preserve">آثاره:</w:t>
      </w:r>
    </w:p>
    <w:p/>
    <w:p>
      <w:pPr/>
      <w:r>
        <w:rPr/>
        <w:t xml:space="preserve">1) ألف رواية اسمها «فظائع المقامرة» بسط فيها مواقف اعتصاب (التلامذة الزيتونيين)، وتشرح عواقب المقامرة، فهي رواية تهذيبية (تونس 1328/ 1910).</w:t>
      </w:r>
    </w:p>
    <w:p/>
    <w:p>
      <w:pPr/>
      <w:r>
        <w:rPr/>
        <w:t xml:space="preserve">2) كتاب اللواء، الذي بسط فيه للعموم حقائق الدين، وعدم منافاته للتطور، إلا أن الحكومة منعت نشره أيضا.</w:t>
      </w:r>
    </w:p>
    <w:p/>
    <w:p>
      <w:pPr/>
      <w:r>
        <w:rPr/>
        <w:t xml:space="preserve">المرجع:</w:t>
      </w:r>
    </w:p>
    <w:p/>
    <w:p>
      <w:pPr/>
      <w:r>
        <w:rPr/>
        <w:t xml:space="preserve">- الأدب التونسي في القرن الرابع عشر 2/ 97 - 108، مجلة قصص، ع 4، جويلية 1967.</w:t>
      </w:r>
    </w:p>
    <w:p>
      <w:pPr>
        <w:jc w:val="start"/>
        <w:bidi/>
      </w:pPr>
      <w:r>
        <w:rPr>
          <w:sz w:val="24"/>
          <w:szCs w:val="24"/>
          <w:b w:val="1"/>
          <w:bCs w:val="1"/>
          <w:rtl/>
        </w:rPr>
        <w:t xml:space="preserve">
تراجم المؤلفين التونسيين،(دار الغرب الإسلامي، بيروت - لبنان،1994،ط 2،ج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2026-10-13T11:18:28+03:00</dcterms:created>
  <dcterms:modified xsi:type="dcterms:W3CDTF">2026-10-13T11:18:28+03:00</dcterms:modified>
</cp:coreProperties>
</file>

<file path=docProps/custom.xml><?xml version="1.0" encoding="utf-8"?>
<Properties xmlns="http://schemas.openxmlformats.org/officeDocument/2006/custom-properties" xmlns:vt="http://schemas.openxmlformats.org/officeDocument/2006/docPropsVTypes"/>
</file>