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الورتتاني
</w:t>
      </w:r>
    </w:p>
    <w:p>
      <w:pPr>
        <w:jc w:val="start"/>
        <w:bidi/>
      </w:pPr>
      <w:r>
        <w:rPr>
          <w:rFonts w:ascii="arial" w:hAnsi="arial" w:eastAsia="arial" w:cs="arial"/>
          <w:sz w:val="28"/>
          <w:szCs w:val="28"/>
          <w:b w:val="1"/>
          <w:bCs w:val="1"/>
          <w:rtl/>
        </w:rPr>
        <w:t xml:space="preserve">الورتتاني
</w:t>
      </w:r>
    </w:p>
    <w:p>
      <w:pPr/>
      <w:r>
        <w:rPr/>
        <w:t xml:space="preserve">الورتتاني  محمد (بالفتح) بن أحمد بن عمار الورتتاني، العالم الحقوقي.</w:t>
      </w:r>
    </w:p>
    <w:p/>
    <w:p>
      <w:pPr/>
      <w:r>
        <w:rPr/>
        <w:t xml:space="preserve">ولد بتونس، وبها نشأ، وتلقى بها تعلمه الابتدائي، ثم الثانوي بالمدرسة الصادقية، وخرج منها محرزا على ديبلومها، ثم انخرط في سلك الحياة الإدارية، فسمي مترجما أصليا بمحكمة الوزارة في 22 مارس 1921، ثم انتقل إلى سلك القضاء، فسمي في بداية الأمر مترجما مكلفا بخطة المدعي العمومي في 30 جانفي سنة 1922، وما زال يرتقي في سلك القضاء إلى أن سمي وكيل الدولة العام لدى محكمة التعقيب في 10 نوفمبر 1958، وأحيل على التقاعد في غرة مارس 1959، وانتخب رئيسا لودادية القضاة لعدة سنوات، ودرس القانون الجنائي بمدرسة الحقوق التونسية لسنوات عديدة وعنه أخذناه.</w:t>
      </w:r>
    </w:p>
    <w:p/>
    <w:p>
      <w:pPr/>
      <w:r>
        <w:rPr/>
        <w:t xml:space="preserve">كان جادا صارما معروفا بعفته ونزاهته واتساع دائرة اطلاعه ومواهبه في القانون، وله اطلاع جيد على أمهات كتب الفقه الإسلامي سمعت منه مرة أثناء درس القانون الجنائي أنه قال: من أراد أن يعرف سمو الشريعة الإسلامية فليطالع أعلام الموقعين لابن القيم.</w:t>
      </w:r>
    </w:p>
    <w:p/>
    <w:p>
      <w:pPr/>
      <w:r>
        <w:rPr/>
        <w:t xml:space="preserve">توفي في 12 جويلية عام 1972.</w:t>
      </w:r>
    </w:p>
    <w:p/>
    <w:p>
      <w:pPr/>
      <w:r>
        <w:rPr/>
        <w:t xml:space="preserve">آثاره:</w:t>
      </w:r>
    </w:p>
    <w:p/>
    <w:p>
      <w:pPr/>
      <w:r>
        <w:rPr/>
        <w:t xml:space="preserve">1) نقل من الفرنسية إلى العربية تأليفا عنوانه مختصر في شرح قانون المرافعات الجنائية التونسية في مجلد ضخم، ط/بتونس.</w:t>
      </w:r>
    </w:p>
    <w:p/>
    <w:p>
      <w:pPr/>
      <w:r>
        <w:rPr/>
        <w:t xml:space="preserve">2) كشف الحجب عن مدينة العرب (تونس 1352/ 1933) وأصله محاضرة ألقاها بقصر الجمعيات الفرنسية بتونس على كرتين 74 ص مع 6 ص تقاريظ.</w:t>
      </w:r>
    </w:p>
    <w:p/>
    <w:p>
      <w:pPr/>
      <w:r>
        <w:rPr/>
        <w:t xml:space="preserve">المرجع:</w:t>
      </w:r>
    </w:p>
    <w:p/>
    <w:p>
      <w:pPr/>
      <w:r>
        <w:rPr/>
        <w:t xml:space="preserve">- أمدني بعناصر هذه الترجمة الأخ الأستاذ الهادي محفوظ المحامي فله الشكر مجددا.</w:t>
      </w:r>
    </w:p>
    <w:p>
      <w:pPr>
        <w:jc w:val="start"/>
        <w:bidi/>
      </w:pPr>
      <w:r>
        <w:rPr>
          <w:sz w:val="24"/>
          <w:szCs w:val="24"/>
          <w:b w:val="1"/>
          <w:bCs w:val="1"/>
          <w:rtl/>
        </w:rPr>
        <w:t xml:space="preserve">
تراجم المؤلفين التونسيين،(دار الغرب الإسلامي، بيروت - لبنان،1994،ط 2،ج 5،ص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2026-10-13T10:25:59+03:00</dcterms:created>
  <dcterms:modified xsi:type="dcterms:W3CDTF">2026-10-13T10:25:59+03:00</dcterms:modified>
</cp:coreProperties>
</file>

<file path=docProps/custom.xml><?xml version="1.0" encoding="utf-8"?>
<Properties xmlns="http://schemas.openxmlformats.org/officeDocument/2006/custom-properties" xmlns:vt="http://schemas.openxmlformats.org/officeDocument/2006/docPropsVTypes"/>
</file>