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المناري
</w:t>
      </w:r>
    </w:p>
    <w:p>
      <w:pPr/>
      <w:r>
        <w:rPr/>
        <w:t xml:space="preserve">المناري  موسى بن عيسى المناري القيرواني، أبو عمران، الفقيه الصالح، الواعظ، الناسك الورع.</w:t>
      </w:r>
    </w:p>
    <w:p/>
    <w:p>
      <w:pPr/>
      <w:r>
        <w:rPr/>
        <w:t xml:space="preserve">قرأ على الشيخ محمد الرماح، وقرأ عليه الشيخ محمد الشبيبي، ولم يرحل إلى تونس لأن تولي الخطط لأصحاب هذه الرحلة في ذلك العصر وهو لم يكن راغبا في توليها.</w:t>
      </w:r>
    </w:p>
    <w:p/>
    <w:p>
      <w:pPr/>
      <w:r>
        <w:rPr/>
        <w:t xml:space="preserve">وكان فقيها ثقة في نقله، جيد الذهن، حسن العبارة.</w:t>
      </w:r>
    </w:p>
    <w:p/>
    <w:p>
      <w:pPr/>
      <w:r>
        <w:rPr/>
        <w:t xml:space="preserve">له شرح تهذيب المدونة من أوله إلى القصر في القالب الصغير، ولم يتمه.</w:t>
      </w:r>
    </w:p>
    <w:p/>
    <w:p>
      <w:pPr/>
      <w:r>
        <w:rPr/>
        <w:t xml:space="preserve">ولما ورد إلى القيروان «الأحياء» للغزالي نظره وترك التأليف، واشتغل بعمل الميعاد (الوعظ) والتفرغ للعبادة إلى أن مات.</w:t>
      </w:r>
    </w:p>
    <w:p/>
    <w:p>
      <w:pPr/>
      <w:r>
        <w:rPr/>
        <w:t xml:space="preserve">قال ابن ناجي: ولو تمادى على تأليفه لكان أفضل لحفظه في نقل المذهب، وحسن فكرته، ونقل عنه ابن ناجي في شرح التهذيب وغيره.</w:t>
      </w:r>
    </w:p>
    <w:p/>
    <w:p>
      <w:pPr/>
      <w:r>
        <w:rPr/>
        <w:t xml:space="preserve">المصدر:</w:t>
      </w:r>
    </w:p>
    <w:p/>
    <w:p>
      <w:pPr/>
      <w:r>
        <w:rPr/>
        <w:t xml:space="preserve">- معالم الإيمان 4/ 136، 142.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2026-10-13T09:21:20+03:00</dcterms:created>
  <dcterms:modified xsi:type="dcterms:W3CDTF">2026-10-13T09:21:20+03:00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