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القيرواني
</w:t>
      </w:r>
    </w:p>
    <w:p>
      <w:pPr/>
      <w:r>
        <w:rPr/>
        <w:t xml:space="preserve">القيرواني  عمر بن خلف القيرواني، أبو الحسن، المقرئ.</w:t>
      </w:r>
    </w:p>
    <w:p/>
    <w:p>
      <w:pPr/>
      <w:r>
        <w:rPr/>
        <w:t xml:space="preserve">له تلخيص العبارات في القراءات.</w:t>
      </w:r>
    </w:p>
    <w:p/>
    <w:p>
      <w:pPr/>
      <w:r>
        <w:rPr/>
        <w:t xml:space="preserve">المرجع:</w:t>
      </w:r>
    </w:p>
    <w:p/>
    <w:p>
      <w:pPr/>
      <w:r>
        <w:rPr/>
        <w:t xml:space="preserve">- مرآة الجنان 3/ 210.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2026-10-13T06:54:55+03:00</dcterms:created>
  <dcterms:modified xsi:type="dcterms:W3CDTF">2026-10-13T06:54:55+03:00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