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القريشي
</w:t>
      </w:r>
    </w:p>
    <w:p>
      <w:pPr/>
      <w:r>
        <w:rPr/>
        <w:t xml:space="preserve">القريشي  محمد بن أحمد بن عبد الرحمن بن أبي القاسم بن محمد بن زكريا القريشي التونسي فاضل فلكي.</w:t>
      </w:r>
    </w:p>
    <w:p/>
    <w:p>
      <w:pPr/>
      <w:r>
        <w:rPr/>
        <w:t xml:space="preserve">له إخلاص النصائح في تخطيط على رسالة محصلة المطلوب في العمل يربع الجيوب، فرغ منه في شعبان سنة 851 هـ‍.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1/ 50.</w:t>
      </w:r>
    </w:p>
    <w:p/>
    <w:p>
      <w:pPr/>
      <w:r>
        <w:rPr/>
        <w:t xml:space="preserve">- معجم المؤلفين 7/ 289.</w:t>
      </w:r>
    </w:p>
    <w:p/>
    <w:p>
      <w:pPr/>
      <w:r>
        <w:rPr/>
        <w:t xml:space="preserve">- هدية العارفين 1/ 793.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2026-10-13T06:53:42+03:00</dcterms:created>
  <dcterms:modified xsi:type="dcterms:W3CDTF">2026-10-13T06:53:42+03:00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