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طراد
</w:t>
      </w:r>
    </w:p>
    <w:p>
      <w:pPr/>
      <w:r>
        <w:rPr/>
        <w:t xml:space="preserve">طراد  محمد طراد القيرواني من سلالة الشابيين، باحث له عناية بالتاريخ نشر مقالات في المجلة الزيتونية، باشر مهنة العدالة في القيروان.</w:t>
      </w:r>
    </w:p>
    <w:p/>
    <w:p>
      <w:pPr/>
      <w:r>
        <w:rPr/>
        <w:t xml:space="preserve">له فهرس مكتب القيروان، وطريقته أن يسمي الكتاب ويصفه وصفا موجزا ويذكر ما عليه من سماعات وخطوط وينقل المهم منها، وربما ترجم لمصنفه باختصار.</w:t>
      </w:r>
    </w:p>
    <w:p/>
    <w:p>
      <w:pPr/>
      <w:r>
        <w:rPr/>
        <w:t xml:space="preserve">والكتاب في 148 ورقة، منه فلم في دار الكتب المصرية.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الأعلام 8/ 327 (ط 5/) قسم المصادر والمراجع.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2026-10-13T05:11:05+03:00</dcterms:created>
  <dcterms:modified xsi:type="dcterms:W3CDTF">2026-10-13T05:11:05+03:00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