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بوصاع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بوصاع
</w:t>
      </w:r>
    </w:p>
    <w:p>
      <w:pPr/>
      <w:r>
        <w:rPr/>
        <w:t xml:space="preserve">بوصاع  محمد بوصاع النابلي</w:t>
      </w:r>
    </w:p>
    <w:p/>
    <w:p>
      <w:pPr/>
      <w:r>
        <w:rPr/>
        <w:t xml:space="preserve">كان خيرا فاضلا صالحا.</w:t>
      </w:r>
    </w:p>
    <w:p/>
    <w:p>
      <w:pPr/>
      <w:r>
        <w:rPr/>
        <w:t xml:space="preserve">له تأليف في كرامات الشيخ صالح بن سعيد بو علة القيرواني (المتوفي سنة 1229/ 1814) وأقام هذا الشيخ سنوات بنابل.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2026-10-13T04:16:24+03:00</dcterms:created>
  <dcterms:modified xsi:type="dcterms:W3CDTF">2026-10-13T04:16:24+03:00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