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شعبان
</w:t>
      </w:r>
    </w:p>
    <w:p>
      <w:pPr>
        <w:jc w:val="start"/>
        <w:bidi/>
      </w:pPr>
      <w:r>
        <w:rPr>
          <w:rFonts w:ascii="arial" w:hAnsi="arial" w:eastAsia="arial" w:cs="arial"/>
          <w:sz w:val="28"/>
          <w:szCs w:val="28"/>
          <w:b w:val="1"/>
          <w:bCs w:val="1"/>
          <w:rtl/>
        </w:rPr>
        <w:t xml:space="preserve">ابن شعبان
</w:t>
      </w:r>
    </w:p>
    <w:p>
      <w:pPr/>
      <w:r>
        <w:rPr/>
        <w:t xml:space="preserve">ابن شعبان  أبو الحسن بن شعبان، الأديب الشاعر.</w:t>
      </w:r>
    </w:p>
    <w:p/>
    <w:p>
      <w:pPr/>
      <w:r>
        <w:rPr/>
        <w:t xml:space="preserve">ولد بتونس، وهو ينحدر من عائلة صوفية تنتسب للطريقة القادرية.</w:t>
      </w:r>
    </w:p>
    <w:p/>
    <w:p>
      <w:pPr/>
      <w:r>
        <w:rPr/>
        <w:t xml:space="preserve">تلقى تعلمه الثانوي بجامع الزيتونة، وتخرج منه متحصلا على شهادة التطويع سنة 1333/ 1918، فباشر مهنة التعليم بمدرسة ترشيح المعلمين، وهو من أساتذة الشاعر والكاتب الناقد محمد الحليوي في هذه المدرسة.</w:t>
      </w:r>
    </w:p>
    <w:p/>
    <w:p>
      <w:pPr/>
      <w:r>
        <w:rPr/>
        <w:t xml:space="preserve">ظهر نبوغه في الشعر باكرا فنشرت له الصحف شعره قبل استكمال دراسته بجامع الزيتونة، وشعره سهل منساب فيه رقة وعذوبة، وكان عالي الهمة لا يمل من المطالعة والاستزادة من طلب العلم، حكى عن نفسه أنه كان يحضر دروس العلامة الإمام الشيخ محمد الطاهر بن عاشور في الموطأ وهو إذ ذاك شيخ جامع الزيتونة، وشيخ الإسلام المالكي حوالي عام 1933، وفي ذات مرة ناقش الشيخ ابن عاشور في مدلول لفظة لغوية، والشيخ محمد الطاهر بن عاشور متمكن في مادة اللغة، متثبت في نقله مع سمو ذوق وقدرة على الترجيح بين الأقوال في أسلوب علمي وحسن عرض، ولما طالت المناقشة أراد المترجم أن يفحم الشيخ ابن عاشور فاخترع لوقته شاهدا شعريا على صحة زعمه، فأجابه الشيخ ابن عاشور بديهة ومن نفس الوزن والروي:</w:t>
      </w:r>
    </w:p>
    <w:p/>
    <w:p>
      <w:pPr/>
      <w:r>
        <w:rPr/>
        <w:t xml:space="preserve">يروون من الشعر ما لا يوجد</w:t>
      </w:r>
    </w:p>
    <w:p/>
    <w:p>
      <w:pPr/>
      <w:r>
        <w:rPr/>
        <w:t xml:space="preserve">ففغرفاه مبهوتا من شدة ذكاء الشيخ وسرعة بديهته.</w:t>
      </w:r>
    </w:p>
    <w:p/>
    <w:p>
      <w:pPr/>
      <w:r>
        <w:rPr/>
        <w:t xml:space="preserve">له ديوان شعر قيل إنه ضاع في قائم حياته.</w:t>
      </w:r>
    </w:p>
    <w:p/>
    <w:p>
      <w:pPr/>
      <w:r>
        <w:rPr/>
        <w:t xml:space="preserve">المراجع:</w:t>
      </w:r>
    </w:p>
    <w:p/>
    <w:p>
      <w:pPr/>
      <w:r>
        <w:rPr/>
        <w:t xml:space="preserve">- الأدب التونسي في القرن الرابع عشر 1/ 46 - 17، الحركة الأدبية والفكرية في تونس 243 - 244، الشابي شاعر الحياة والحب د. عمر فروخ (بيروت 1980 ط 3/) ص 75.</w:t>
      </w:r>
    </w:p>
    <w:p>
      <w:pPr>
        <w:jc w:val="start"/>
        <w:bidi/>
      </w:pPr>
      <w:r>
        <w:rPr>
          <w:sz w:val="24"/>
          <w:szCs w:val="24"/>
          <w:b w:val="1"/>
          <w:bCs w:val="1"/>
          <w:rtl/>
        </w:rPr>
        <w:t xml:space="preserve">
تراجم المؤلفين التونسيين،(دار الغرب الإسلامي، بيروت - لبنان،1994،ط 2،ج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2026-10-13T04:18:15+03:00</dcterms:created>
  <dcterms:modified xsi:type="dcterms:W3CDTF">2026-10-13T04:18:15+03:00</dcterms:modified>
</cp:coreProperties>
</file>

<file path=docProps/custom.xml><?xml version="1.0" encoding="utf-8"?>
<Properties xmlns="http://schemas.openxmlformats.org/officeDocument/2006/custom-properties" xmlns:vt="http://schemas.openxmlformats.org/officeDocument/2006/docPropsVTypes"/>
</file>