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الشرفي
</w:t>
      </w:r>
    </w:p>
    <w:p>
      <w:pPr/>
      <w:r>
        <w:rPr/>
        <w:t xml:space="preserve">الشرفي  أحمد بن محمد بن عبد السلام الشرفي الصفاقسي الأصل، المصري المولد والقرار.</w:t>
      </w:r>
    </w:p>
    <w:p/>
    <w:p>
      <w:pPr/>
      <w:r>
        <w:rPr/>
        <w:t xml:space="preserve">كان من علماء الميقات لديه معرفة جيدة مع مشاركة حسنة في غيره، وتوفي في ربيع الأول 1188 كان والده شيخ رواق المغاربة بالأزهر، ومن شيوخ الشيخ أحمد الدمنهوري.</w:t>
      </w:r>
    </w:p>
    <w:p/>
    <w:p>
      <w:pPr/>
      <w:r>
        <w:rPr/>
        <w:t xml:space="preserve">له الدرر الفاخرات في العمل بريع المقنطرات في جميع الأقطار والجهات، موجود بدار الكتب المصرية.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1/ 467، شجرة النور الزكية 341، معجم المؤلفين 2/ 119، هدية العارفين 1/ 178.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2026-10-13T03:19:20+03:00</dcterms:created>
  <dcterms:modified xsi:type="dcterms:W3CDTF">2026-10-13T03:19:20+03:00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