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الدرناوي
</w:t>
      </w:r>
    </w:p>
    <w:p>
      <w:pPr>
        <w:jc w:val="start"/>
        <w:bidi/>
      </w:pPr>
      <w:r>
        <w:rPr>
          <w:rFonts w:ascii="arial" w:hAnsi="arial" w:eastAsia="arial" w:cs="arial"/>
          <w:sz w:val="28"/>
          <w:szCs w:val="28"/>
          <w:b w:val="1"/>
          <w:bCs w:val="1"/>
          <w:rtl/>
        </w:rPr>
        <w:t xml:space="preserve">الدرناوي
</w:t>
      </w:r>
    </w:p>
    <w:p>
      <w:pPr/>
      <w:r>
        <w:rPr/>
        <w:t xml:space="preserve">الدرناوي  محمد بن حسين الدرناوي الليبي الأصل، الفقيه الفرضي، الحاسب، والأديب الشاعر.</w:t>
      </w:r>
    </w:p>
    <w:p/>
    <w:p>
      <w:pPr/>
      <w:r>
        <w:rPr/>
        <w:t xml:space="preserve">قرأ بالزاوية الجمنية بجربة، ثم انتقل إلى جامع الزيتونة فقرأ على المسند الرواية الشيخ محمد الغرياني، ومدحه بقصائد عند ختمه البخاري وغيره، وقرأ على غيره.</w:t>
      </w:r>
    </w:p>
    <w:p/>
    <w:p>
      <w:pPr/>
      <w:r>
        <w:rPr/>
        <w:t xml:space="preserve">ودرس بجامع الزيتونة، وتولى خطة الافتاء، وأولاه الأمير علي بن حسين باي قلم الانشاء في دولته، ولما توفي الشيخ أحمد الاصرم رئيس الكتابة أولاه رئاسة الكتابة، ثم أخره عنها، وبقي بعد عزله على وجاهته واحترام جانبه، وله مدائح في مخدومه علي باشا.</w:t>
      </w:r>
    </w:p>
    <w:p/>
    <w:p>
      <w:pPr/>
      <w:r>
        <w:rPr/>
        <w:t xml:space="preserve">وكان جماعة للكتب نسخ بعضها بخط يده، وعلى جميعها تقارير مفيدة. قال ابن أبي الضياف «وتباع الكتب التي بخط يده بضعف قيمتها إلى الآن، لما على حواشيها من تقاريره الواضحة البيان».</w:t>
      </w:r>
    </w:p>
    <w:p/>
    <w:p>
      <w:pPr/>
      <w:r>
        <w:rPr/>
        <w:t xml:space="preserve">مؤلفاته:</w:t>
      </w:r>
    </w:p>
    <w:p/>
    <w:p>
      <w:pPr/>
      <w:r>
        <w:rPr/>
        <w:t xml:space="preserve">1) تقارير على شرح عبد الباقي الزرقاني على مختصر خليل.</w:t>
      </w:r>
    </w:p>
    <w:p/>
    <w:p>
      <w:pPr/>
      <w:r>
        <w:rPr/>
        <w:t xml:space="preserve">2) شرح على الدرة البيضاء في الحساب والفرائض للشيخ عبد الرحمن الأخضري الجزائري، مطبوع.</w:t>
      </w:r>
    </w:p>
    <w:p/>
    <w:p>
      <w:pPr/>
      <w:r>
        <w:rPr/>
        <w:t xml:space="preserve">المصادر والمراجع:</w:t>
      </w:r>
    </w:p>
    <w:p/>
    <w:p>
      <w:pPr/>
      <w:r>
        <w:rPr/>
        <w:t xml:space="preserve">- اتحاف أهل الزمان 7/ 19.</w:t>
      </w:r>
    </w:p>
    <w:p/>
    <w:p>
      <w:pPr/>
      <w:r>
        <w:rPr/>
        <w:t xml:space="preserve">- شجرة النور الزكية 350.</w:t>
      </w:r>
    </w:p>
    <w:p/>
    <w:p>
      <w:pPr/>
      <w:r>
        <w:rPr/>
        <w:t xml:space="preserve">- عنوان الأريب 2/ 62 - 63.</w:t>
      </w:r>
    </w:p>
    <w:p/>
    <w:p>
      <w:pPr/>
      <w:r>
        <w:rPr/>
        <w:t xml:space="preserve">- معجم المؤلفين 9/ 299 نقلا عن فهرس الأزهرية 2/ 673.</w:t>
      </w:r>
    </w:p>
    <w:p>
      <w:pPr>
        <w:jc w:val="start"/>
        <w:bidi/>
      </w:pPr>
      <w:r>
        <w:rPr>
          <w:sz w:val="24"/>
          <w:szCs w:val="24"/>
          <w:b w:val="1"/>
          <w:bCs w:val="1"/>
          <w:rtl/>
        </w:rPr>
        <w:t xml:space="preserve">
تراجم المؤلفين التونسيين،(دار الغرب الإسلامي، بيروت - لبنان،1994،ط 2،ج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2026-10-13T01:45:38+03:00</dcterms:created>
  <dcterms:modified xsi:type="dcterms:W3CDTF">2026-10-13T01:45:38+03:00</dcterms:modified>
</cp:coreProperties>
</file>

<file path=docProps/custom.xml><?xml version="1.0" encoding="utf-8"?>
<Properties xmlns="http://schemas.openxmlformats.org/officeDocument/2006/custom-properties" xmlns:vt="http://schemas.openxmlformats.org/officeDocument/2006/docPropsVTypes"/>
</file>