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دحمان
</w:t>
      </w:r>
    </w:p>
    <w:p>
      <w:pPr/>
      <w:r>
        <w:rPr/>
        <w:t xml:space="preserve">دحمان  محمد بن محمد دحمان الغساني القيرواني.</w:t>
      </w:r>
    </w:p>
    <w:p/>
    <w:p>
      <w:pPr/>
      <w:r>
        <w:rPr/>
        <w:t xml:space="preserve">كان رجلا صالحا خيرا فاضلا زاهدا، وكان في أول أمره يخدم صنعة البلغة، ثم تركها وصار مشتغلا بالصلاة على النبي صلى الله عليه وسلم.</w:t>
      </w:r>
    </w:p>
    <w:p/>
    <w:p>
      <w:pPr/>
      <w:r>
        <w:rPr/>
        <w:t xml:space="preserve">له نحو الأربعين تأليفا في الصلاة على النبي صلى الله عليه وسلم.</w:t>
      </w:r>
    </w:p>
    <w:p/>
    <w:p>
      <w:pPr/>
      <w:r>
        <w:rPr/>
        <w:t xml:space="preserve">كل تأليف سماه «دلائل الخيرات».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2026-10-13T01:06:19+03:00</dcterms:created>
  <dcterms:modified xsi:type="dcterms:W3CDTF">2026-10-13T01:06:19+03:00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