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علي بن محمد بن ثابت الخولاني المهدوي، أبو الحسن، الإمام المقرئ الأديب الشاعر.</w:t>
      </w:r>
    </w:p>
    <w:p/>
    <w:p>
      <w:pPr/>
      <w:r>
        <w:rPr/>
        <w:t xml:space="preserve">كان يدرس النحو، وكان الأمير تميم بن المعز يجله ويكرمه ويعرف مقامه.</w:t>
      </w:r>
    </w:p>
    <w:p/>
    <w:p>
      <w:pPr/>
      <w:r>
        <w:rPr/>
        <w:t xml:space="preserve">رحل إلى الأندلس، وأخذ القراءات عن تلامذة المقرئ أبي عمر وعثمان بن سعيد الداني، كأبي داود سليمان بن نجاح، وأبي الحسن علي بن عبد الرحمن بن الدوش وأبي الحسن يحيى بن إبراهيم اللواتي المرسي المعروف بابن البيار.</w:t>
      </w:r>
    </w:p>
    <w:p/>
    <w:p>
      <w:pPr/>
      <w:r>
        <w:rPr/>
        <w:t xml:space="preserve">قرأ عليه أبو القاسم عبد الرحمن بن أبي رجاء البلوي البلنسي الأندلسي، قرأ عليه بالمهدية، وعبد المنعم بن يحيى بن الخلوف أبو الطيب الحميري الغرناطي في شهور سنة 485/ 1092، ونعته بالأستاذ المقرئ الشاعر، وقرأ عليه أبو القاسم اللبلي سنة 497/ 1104 أثناء رحلته إلى المشرق.</w:t>
      </w:r>
    </w:p>
    <w:p/>
    <w:p>
      <w:pPr/>
      <w:r>
        <w:rPr/>
        <w:t xml:space="preserve">مؤلفاته:</w:t>
      </w:r>
    </w:p>
    <w:p/>
    <w:p>
      <w:pPr/>
      <w:r>
        <w:rPr/>
        <w:t xml:space="preserve">1) الاشارة، مقدمة في النحو.</w:t>
      </w:r>
    </w:p>
    <w:p/>
    <w:p>
      <w:pPr/>
      <w:r>
        <w:rPr/>
        <w:t xml:space="preserve">2) شرح عليها.</w:t>
      </w:r>
    </w:p>
    <w:p/>
    <w:p>
      <w:pPr/>
      <w:r>
        <w:rPr/>
        <w:t xml:space="preserve">3) وله مؤلفات أخرى لم أقف على أسمائها.</w:t>
      </w:r>
    </w:p>
    <w:p/>
    <w:p>
      <w:pPr/>
      <w:r>
        <w:rPr/>
        <w:t xml:space="preserve">المصادر والمراجع:</w:t>
      </w:r>
    </w:p>
    <w:p/>
    <w:p>
      <w:pPr/>
      <w:r>
        <w:rPr/>
        <w:t xml:space="preserve">- رحلة التجاني 332 (ذكر له مقتطفات من قصيدة).</w:t>
      </w:r>
    </w:p>
    <w:p/>
    <w:p>
      <w:pPr/>
      <w:r>
        <w:rPr/>
        <w:t xml:space="preserve">- شجرة النور الزكية 118.</w:t>
      </w:r>
    </w:p>
    <w:p/>
    <w:p>
      <w:pPr/>
      <w:r>
        <w:rPr/>
        <w:t xml:space="preserve">- غاية النهاية 1/ 566.</w:t>
      </w:r>
    </w:p>
    <w:p/>
    <w:p>
      <w:pPr/>
      <w:r>
        <w:rPr/>
        <w:t xml:space="preserve">- فهرسة ابن خير 319 - 320.</w:t>
      </w:r>
    </w:p>
    <w:p/>
    <w:p>
      <w:pPr/>
      <w:r>
        <w:rPr/>
        <w:t xml:space="preserve">- المجمل في تاريخ الأدب التونسي 167 - 168.</w:t>
      </w:r>
    </w:p>
    <w:p/>
    <w:p>
      <w:pPr/>
      <w:r>
        <w:rPr/>
        <w:t xml:space="preserve">Chedly Bouyahia، La vie litteraire en Ifriquia sous les Zirides، Tunis 1972، p .177</w:t>
      </w:r>
    </w:p>
    <w:p>
      <w:pPr>
        <w:jc w:val="start"/>
        <w:bidi/>
      </w:pPr>
      <w:r>
        <w:rPr>
          <w:sz w:val="24"/>
          <w:szCs w:val="24"/>
          <w:b w:val="1"/>
          <w:bCs w:val="1"/>
          <w:rtl/>
        </w:rPr>
        <w:t xml:space="preserve">
تراجم المؤلفين التونسيين،(دار الغرب الإسلامي، بيروت - لبنان،1994،ط 2،ج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2026-10-12T23:43:46+03:00</dcterms:created>
  <dcterms:modified xsi:type="dcterms:W3CDTF">2026-10-12T23:43:46+03:00</dcterms:modified>
</cp:coreProperties>
</file>

<file path=docProps/custom.xml><?xml version="1.0" encoding="utf-8"?>
<Properties xmlns="http://schemas.openxmlformats.org/officeDocument/2006/custom-properties" xmlns:vt="http://schemas.openxmlformats.org/officeDocument/2006/docPropsVTypes"/>
</file>