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عبد الله بن محمد ابن الشيخ القاضي أبي القاسم بن علي ابن البراء، ويقال ابن عبد البر، التنوخي المهدوي السلف التونسي، أبو محمد.</w:t>
      </w:r>
    </w:p>
    <w:p/>
    <w:p>
      <w:pPr/>
      <w:r>
        <w:rPr/>
        <w:t xml:space="preserve">كان محدثا فقيها مسندا راوية مؤرخا، وهو من بيت علم وجده أبو القاسم كان محدثا رحالة. أخذ عن جماعة منهم جده أبو القاسم، وعنه جماعة منهم خالد البلوي الأندلسي قرأ عليه بجامع الزيتونة تصانيف وأجزاء وجزءا من برنامج شيوخه، وأجازه بما رواه عن جده بسنده وغيره إجازة عامة، وأطال خالد البلوي الثناء عليه في «رحلته» ووصفه بالعلم والفطانة والمهارة في الكتابة.</w:t>
      </w:r>
    </w:p>
    <w:p/>
    <w:p>
      <w:pPr/>
      <w:r>
        <w:rPr/>
        <w:t xml:space="preserve">كان يجلس لرواية مقامات الحريري بدويرة جامع الزيتونة وهي الدويرة التي يخرج منها الخطيب، وهي بإزاء المحراب من جهة اليسار، واحتج ابن عرفة في «مختصره الفقهي» بصنيعه في ذلك، مع ما في «المقامات» من المثالب، وقول ابن عرفة أيده تلميذه الأبي في شرحه على صحيح مسلم (إكمال الإكمال) إذ ليس للدويرة حكم الجامع.</w:t>
      </w:r>
    </w:p>
    <w:p/>
    <w:p>
      <w:pPr/>
      <w:r>
        <w:rPr/>
        <w:t xml:space="preserve">توفي في 27 جمادي الثانية.</w:t>
      </w:r>
    </w:p>
    <w:p/>
    <w:p>
      <w:pPr/>
      <w:r>
        <w:rPr/>
        <w:t xml:space="preserve">مؤلفاته:</w:t>
      </w:r>
    </w:p>
    <w:p/>
    <w:p>
      <w:pPr/>
      <w:r>
        <w:rPr/>
        <w:t xml:space="preserve">1 - اختصار ذيل تاريخ بغداد لأبي سعد عبد الكريم السمعاني.</w:t>
      </w:r>
    </w:p>
    <w:p/>
    <w:p>
      <w:pPr/>
      <w:r>
        <w:rPr/>
        <w:t xml:space="preserve">2 - برنامج جمع فيه أشياخه وأسانيده.</w:t>
      </w:r>
    </w:p>
    <w:p/>
    <w:p>
      <w:pPr/>
      <w:r>
        <w:rPr/>
        <w:t xml:space="preserve">3 - تاريخ على طريقة الطبري مرتب على السنين من سنة البعثة المحمدية إلى زمنه في ستة أسفار.</w:t>
      </w:r>
    </w:p>
    <w:p/>
    <w:p>
      <w:pPr/>
      <w:r>
        <w:rPr/>
        <w:t xml:space="preserve">4 - مختصر المشرق في علماء المغرب والمشرق لأحمد بن محمد الغرناطي نزيل تونس (المتوفي سنة 692/ 1293).</w:t>
      </w:r>
    </w:p>
    <w:p/>
    <w:p>
      <w:pPr/>
      <w:r>
        <w:rPr/>
        <w:t xml:space="preserve">المصادر والمراجع:</w:t>
      </w:r>
    </w:p>
    <w:p/>
    <w:p>
      <w:pPr/>
      <w:r>
        <w:rPr/>
        <w:t xml:space="preserve">- تاريخ الدولتين 61.</w:t>
      </w:r>
    </w:p>
    <w:p/>
    <w:p>
      <w:pPr/>
      <w:r>
        <w:rPr/>
        <w:t xml:space="preserve">- الحلل السندسية 1 ق 3/ 605 - 610، 644.</w:t>
      </w:r>
    </w:p>
    <w:p/>
    <w:p>
      <w:pPr/>
      <w:r>
        <w:rPr/>
        <w:t xml:space="preserve">- شجرة النور الزكية 208.</w:t>
      </w:r>
    </w:p>
    <w:p/>
    <w:p>
      <w:pPr/>
      <w:r>
        <w:rPr/>
        <w:t xml:space="preserve">- مسامرات الظريف بحسن التعريف لمحمد بن عثمان السنوسي 102.</w:t>
      </w:r>
    </w:p>
    <w:p/>
    <w:p>
      <w:pPr/>
      <w:r>
        <w:rPr/>
        <w:t xml:space="preserve">- نزهة الأنظار لمحمود مقديش 1/ 227.</w:t>
      </w:r>
    </w:p>
    <w:p/>
    <w:p>
      <w:pPr/>
      <w:r>
        <w:rPr/>
        <w:t xml:space="preserve">- نيل الابتهاج 145.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2026-10-12T22:26:10+03:00</dcterms:created>
  <dcterms:modified xsi:type="dcterms:W3CDTF">2026-10-12T22:26:10+03:00</dcterms:modified>
</cp:coreProperties>
</file>

<file path=docProps/custom.xml><?xml version="1.0" encoding="utf-8"?>
<Properties xmlns="http://schemas.openxmlformats.org/officeDocument/2006/custom-properties" xmlns:vt="http://schemas.openxmlformats.org/officeDocument/2006/docPropsVTypes"/>
</file>