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بيرم الثاني
</w:t>
      </w:r>
    </w:p>
    <w:p>
      <w:pPr>
        <w:jc w:val="start"/>
        <w:bidi/>
      </w:pPr>
      <w:r>
        <w:rPr>
          <w:rFonts w:ascii="arial" w:hAnsi="arial" w:eastAsia="arial" w:cs="arial"/>
          <w:sz w:val="28"/>
          <w:szCs w:val="28"/>
          <w:b w:val="1"/>
          <w:bCs w:val="1"/>
          <w:rtl/>
        </w:rPr>
        <w:t xml:space="preserve">بيرم الثاني
</w:t>
      </w:r>
    </w:p>
    <w:p>
      <w:pPr/>
      <w:r>
        <w:rPr/>
        <w:t xml:space="preserve">بيرم الثاني  محمد بن محمد بن حسين بيرم ابن المترجم له قبل هذا، المعروف ببيرم الثاني.</w:t>
      </w:r>
    </w:p>
    <w:p/>
    <w:p>
      <w:pPr/>
      <w:r>
        <w:rPr/>
        <w:t xml:space="preserve">ذكر في «شرح منظومته للمفتين الحنفيين» شيوخه ونشاطه في التدريس والمناصب الشرعية التي تولاها فقال: «أخذت العلم عن جماعة: فالتجويد عن محمد قرة بطاق وأبي إسحاق إبراهيم الحميري وأبي العباس أحمد الوافي، والفقه والحديث عن والدي، وباقي العلوم عن الشيخ المحقق صالح الكواش والفاضلين البارعين المفتيين: أبي العباس أحمد الثعالبي الشهير</w:t>
      </w:r>
    </w:p>
    <w:p/>
    <w:p>
      <w:pPr/>
      <w:r>
        <w:rPr/>
        <w:t xml:space="preserve">بالبرانسي، وأبي عبد الله محمد الدرناوي، والفقيه أبي الحسن علي بن سلامة، والنحوي أبي العباس أحمد السويسي وقطب دائرة المعقول أبي عبد الله محمد الشحمي.</w:t>
      </w:r>
    </w:p>
    <w:p/>
    <w:p>
      <w:pPr/>
      <w:r>
        <w:rPr/>
        <w:t xml:space="preserve">وأقرأت - حسب الطاقة - بالمدرسة الباشية نيابة عن والدي واستقلالا بها، وبالجامع الأعظم وغيرهما، ثم خطبت بجامع يوسف داي نيابة عن والدي، ثم رفعنا أيدينا عنها فوليها امام الخمس به - إذ ذاك - الفقيه خليل، ثم قدمت للقضاء بعد عزل شيخنا قره بطاق يوم السبت لست يقين من شهر ربيع الأول عام اثنين وتسعين، ثم استقلت منه فأقلت يوم الأحد من رجب الأصب من عام 1193، ووليه الشيخ حسن الترجمان، ثم عزل عنه وأكد علي في العود إليه فعدت يوم الاثنين لأربع بقين من ثاني الربيعين عام 1194، وطلبت الإقالة منه ثانيا فلم أجب عليها فصبرت، ثم وليت الأشراف على الأشراف بعد موت عبد الكبير الشريف عام 1206 وبقيت كذلك إلى أن توفي الشيخ الوالد في التاريخ (1214) فقلدت الفتوى في الخامس عشر من محرم عام 1215، وسبب التأخير في هذه المدة التروي فيمن يقلد خطة القضاء التي كانت بيدي، حتى وقع الاختيار على الشيخ حسين برناز، وأنا أنتظر خاتمة الخير».</w:t>
      </w:r>
    </w:p>
    <w:p/>
    <w:p>
      <w:pPr/>
      <w:r>
        <w:rPr/>
        <w:t xml:space="preserve">وتولى رئاسة الفتوى في ربيع الثاني /1216 أوت 1801 وبقي في هذا المنصب إلى وفاته في غرة جمادى الأولى سنة 1247/ 21 أكتوبر 1831.</w:t>
      </w:r>
    </w:p>
    <w:p/>
    <w:p>
      <w:pPr/>
      <w:r>
        <w:rPr/>
        <w:t xml:space="preserve">كان من قضاة العدل متشبثا متحريا، وقبل استقالته الأولى من خطة القضاء انتخب عددا معينا من الشهود بالحاضرة، وكتب لكل من انتخبه في طرة أمر ولايته: «وأثبته في الشهادة.» واستشاط الفقيه الحاج مبارك الدباك غيظا لعدم انتخابه فسافر إلى المدينة المنورة شاكيا لقبر المصطفى - صلى الله عليه وسلم - بالقاضي ولما بلغ ذلك للباشا علي بن حسين باي أبقى سائر الشهود على ما كانوا، وكتب بذلك للقضاة.</w:t>
      </w:r>
    </w:p>
    <w:p/>
    <w:p>
      <w:pPr/>
      <w:r>
        <w:rPr/>
        <w:t xml:space="preserve">ومن تثبته أنه في المعاوضات يتوجه بنفسه لنظر العوض، ويسأل عن القيمة غير الامناء (الخبراء) المعينين لذلك وهو أول من سن الزيادة على القيمة تحريا لجانب الحبس.</w:t>
      </w:r>
    </w:p>
    <w:p/>
    <w:p>
      <w:pPr/>
      <w:r>
        <w:rPr/>
        <w:t xml:space="preserve">وكان غزير الحفظ، جيد الفكر، واشتهر بأنه مجتهد، وعرف المذهب المالكي الذي كان يستمد منه أحيانا حججا في فتواه وكان معتنيا بالحديث والإسناد الذي غالب رجاله مالكية.</w:t>
      </w:r>
    </w:p>
    <w:p/>
    <w:p>
      <w:pPr/>
      <w:r>
        <w:rPr/>
        <w:t xml:space="preserve">وله شعر.</w:t>
      </w:r>
    </w:p>
    <w:p/>
    <w:p>
      <w:pPr/>
      <w:r>
        <w:rPr/>
        <w:t xml:space="preserve">وممن أخذ عنه المؤرخ أحمد بن أبي الضياف، أخذ عنه صحيح البخاري قرأ عليه أبوابا منه وأجازه فيه بسنده، وكان ذلك بمحضر حفيده محمد ليلة عرسه فقال للحاضرين متحدثا بنعمة الله «ابني هذا نعمة غير مترقبة، وذلك أن أولادي وأمهم ماتوا في الطاعون الجارف وبقيت وحدي في البيت، وعزمت على العزبة فكتب إلي أبي بالتزوج فأخبرته بما عزمت عليه آيسا من الولد، فكتب إلي: «لا ييأس من روح الله إلا القوم الكافرون» فعند ذلك قلت له:</w:t>
      </w:r>
    </w:p>
    <w:p/>
    <w:p>
      <w:pPr/>
      <w:r>
        <w:rPr/>
        <w:t xml:space="preserve">أمري بيدك، فزوجني من بنت الشريف الفلاري، فحملت بشيخكم ابني محمد، ولما ولد قلت هل يعيش حتى نراه يقرأ كأخيه الميت؟ فعشت حتى رأيته مدرسا، وعشت حتى رأيته مفتيا معي، ولما ولد له صاحبكم محمد قلت: هل يعيش حتى نراه يقرأ؟ فعشت حتى رأيته - والشكر لله - من نجباء الطلبة، هذه ليلة عرسه وفضل الله أوسع من هذا».</w:t>
      </w:r>
    </w:p>
    <w:p/>
    <w:p>
      <w:pPr/>
      <w:r>
        <w:rPr/>
        <w:t xml:space="preserve">تآليفه:</w:t>
      </w:r>
    </w:p>
    <w:p/>
    <w:p>
      <w:pPr/>
      <w:r>
        <w:rPr/>
        <w:t xml:space="preserve">1 - حاشية على شرح الشيخ قاسم بن قطلوبغا الحنفي المصري على مختصر المنار لابن حبيب الحلبي المتوفى سنة 808/ 1406 فرغ منها في 5 جمادي الثانية سنة 1226.</w:t>
      </w:r>
    </w:p>
    <w:p/>
    <w:p>
      <w:pPr/>
      <w:r>
        <w:rPr/>
        <w:t xml:space="preserve">2 - حسن النبا في جواز التحفظ من الوباء. وقعت محاورة بينه وبين معاصره الشيخ محمد المناعي المالكي في شأن عدوى مرض الوباء، وما تتخذه الدول من الحجر الصحي (الكرنتينة) برا وبحرا لإيقاف خطره ومنع تسرب عدواه. ومن رأي صاحب الترجمة صحة القول بالعدوى، وألف هاته الرسالة في ذلك، وهاته المحاورة أشار إليها الشيخ رفاعة الطهطاوي في صدر رحلته ويبدو أنه ألفها على إثر الطاعون الجارف الواقع في عهد محمد علي سنة 1199/ 1785 والذي دام أكثر من عامين. ط. بمط. الإعلام، القاهرة 1302 هـ‍ في 26 ص، والمط الرسمية بتونس.</w:t>
      </w:r>
    </w:p>
    <w:p/>
    <w:p>
      <w:pPr/>
      <w:r>
        <w:rPr/>
        <w:t xml:space="preserve">3 - التعريف بالأجداد البيارمة (وهي عند الزركلي في الإعلام، التعريف بالأسرة البيرمية) مخطوطة في 60 ورقة عند الأستاذ خالد ابن المؤرخ محمد بن الخوجة الأستاذ بكلية الآداب بالجامعة التونسية وأصلها من كتب خليل الطواحني.</w:t>
      </w:r>
    </w:p>
    <w:p/>
    <w:p>
      <w:pPr/>
      <w:r>
        <w:rPr/>
        <w:t xml:space="preserve">4 - رسالة في بيع الوفاء.</w:t>
      </w:r>
    </w:p>
    <w:p/>
    <w:p>
      <w:pPr/>
      <w:r>
        <w:rPr/>
        <w:t xml:space="preserve">5 - رسالة في الطلاق.</w:t>
      </w:r>
    </w:p>
    <w:p/>
    <w:p>
      <w:pPr/>
      <w:r>
        <w:rPr/>
        <w:t xml:space="preserve">6 - رسالة في رجوع الموصي عن وصيته بعد أن اشترط عدم الرجوع نحا فيها منحى المجتهدين من أهل الترجيح، وقلد المذهب المالكي، وقرضها علماء عصره وتلقوها بالقبول كالشيخ حسن الشريف والشيخ إبراهيم الرياحي.</w:t>
      </w:r>
    </w:p>
    <w:p/>
    <w:p>
      <w:pPr/>
      <w:r>
        <w:rPr/>
        <w:t xml:space="preserve">وله رسائل أخرى كثيرة لو جمعت كانت مجلدا ضحما.</w:t>
      </w:r>
    </w:p>
    <w:p/>
    <w:p>
      <w:pPr/>
      <w:r>
        <w:rPr/>
        <w:t xml:space="preserve">7 - عقد الدر والمرجان. وهي منظومة طويلة في سلاطين آل عثمان، من البحر الطويل.</w:t>
      </w:r>
    </w:p>
    <w:p/>
    <w:p>
      <w:pPr/>
      <w:r>
        <w:rPr/>
        <w:t xml:space="preserve">بعد خمسين بيتا شرع في ذكر السلاطين العثمانيين إلى أن انتهى إلى سلطان عصره السلطان عبد الحميد الأول (المتوفى سنة 1203/ 1789) ويبدو أن المؤلف زاد عليها بعد فراغه منها سنة 1198/ 1783 - 84 حتى وصل إلى سلطان عصره، ثم أضاف إليها ثلاثة أبيات تخليدا لعهد السلطان سليمان الثالث، وأكملها حفيده بيرم الرابع - فيما بعد - بذكر السلاطين المتوالين إلى وسط القرن الثالث عشر الهجري.</w:t>
      </w:r>
    </w:p>
    <w:p/>
    <w:p>
      <w:pPr/>
      <w:r>
        <w:rPr/>
        <w:t xml:space="preserve">8 - منظومة في بايات تونس في 18 بيتا.</w:t>
      </w:r>
    </w:p>
    <w:p/>
    <w:p>
      <w:pPr/>
      <w:r>
        <w:rPr/>
        <w:t xml:space="preserve">9 - منظومة في الهلال.</w:t>
      </w:r>
    </w:p>
    <w:p/>
    <w:p>
      <w:pPr/>
      <w:r>
        <w:rPr/>
        <w:t xml:space="preserve">10 - منظومة في المفتيين الحنفيين بتونس من لدن الفتح التركي إلى عصره، وشرحها.</w:t>
      </w:r>
    </w:p>
    <w:p/>
    <w:p>
      <w:pPr/>
      <w:r>
        <w:rPr/>
        <w:t xml:space="preserve">نشرت منها مجلة «الندوة» نتفا في عددين ذكر فيها واحدا وعشرين مفتيا، وأولهم رمضان افندي الذين عينته الأستانة قاضيا وسمي مفتيا بعد انتهاء مهمته (أي بعد انتهاء ثلاث سنوات من ولايته القضاء) والترجمة الأخيرة خصصها لنفسه، وكان رئيس الإفتاء عند ما كتب شرحه، ولمعاونيه مصطفى وأحمد البارودي اللذين توليا الواحد إثر الآخر منصب المفتي الثاني، وحسين برناز المفتي الثالث.</w:t>
      </w:r>
    </w:p>
    <w:p/>
    <w:p>
      <w:pPr/>
      <w:r>
        <w:rPr/>
        <w:t xml:space="preserve">وفي آخر المنظومة بيت لم يشرحه متضمن لاسم مفتيين أحمد بن الخوجة، وابن الناظم محمد بيرم الثالث الذي سمي مفتيا في ذي القعدة سنة /1229 اكتوبر نوفمبر سنة 1814 بعد وفاة أحمد البارودي، أضاف المؤلف هذا البيت على ما قال الناسخ وكان قد انتهى من الشرح في ربيع الأول سنة /1229 فيفري - مارس 1814</w:t>
      </w:r>
    </w:p>
    <w:p/>
    <w:p>
      <w:pPr/>
      <w:r>
        <w:rPr/>
        <w:t xml:space="preserve">وكل ترجمة تحتوي - بعد ذكر المولد - على أسماء شيوخ المترجم له ولمحة عن نشاطه التدريسي، والوظائف التي تولاها الواحدة تلو الأخرى مع بيان تاريخ التولية، وأخيرا الوفاة.</w:t>
      </w:r>
    </w:p>
    <w:p/>
    <w:p>
      <w:pPr/>
      <w:r>
        <w:rPr/>
        <w:t xml:space="preserve">ومن النادر ألا تكون هذه الوظائف مذكورة في مرثيته، ويذكر مرثية أو أكثر في كل ترجمة والتسمية في خطة أو تأليف كتاب توفر الفرصة لزملاء وأصحاب المترجم له لنظم التهاني والتقاريظ يذكر منها المؤلف نماذج عديدة وبعضها من نظمه.</w:t>
      </w:r>
    </w:p>
    <w:p/>
    <w:p>
      <w:pPr/>
      <w:r>
        <w:rPr/>
        <w:t xml:space="preserve">11 - تقارير بخط يده على نزهة النظر في توضيح نخبة الفكر في مصطلح أهل الأثر، موجود ضمن مجموع بالمكتبة الوطنية بتونس (ينظر برنامج المكتبة العبدلية 2/ 234).</w:t>
      </w:r>
    </w:p>
    <w:p/>
    <w:p>
      <w:pPr/>
      <w:r>
        <w:rPr/>
        <w:t xml:space="preserve">المصادر والمراجع:</w:t>
      </w:r>
    </w:p>
    <w:p/>
    <w:p>
      <w:pPr/>
      <w:r>
        <w:rPr/>
        <w:t xml:space="preserve">- إتحاف أهل الزمان 7/ 158 - 162 (نقلا عن شرح المترجم له لمنظومته في المفتين الحنفيين وأورد معلومات أخرى شخصية).</w:t>
      </w:r>
    </w:p>
    <w:p/>
    <w:p>
      <w:pPr/>
      <w:r>
        <w:rPr/>
        <w:t xml:space="preserve">- الإعلام 7/ 299.</w:t>
      </w:r>
    </w:p>
    <w:p/>
    <w:p>
      <w:pPr/>
      <w:r>
        <w:rPr/>
        <w:t xml:space="preserve">- إيضاح المكنون 1/ 405؛ 2/ 108.</w:t>
      </w:r>
    </w:p>
    <w:p/>
    <w:p>
      <w:pPr/>
      <w:r>
        <w:rPr/>
        <w:t xml:space="preserve">- تاريخ معالم التوحيد 137 - 138.</w:t>
      </w:r>
    </w:p>
    <w:p/>
    <w:p>
      <w:pPr/>
      <w:r>
        <w:rPr/>
        <w:t xml:space="preserve">- عنوان الأريب 2/ 78 - 83 (منتخبات من شعره).</w:t>
      </w:r>
    </w:p>
    <w:p/>
    <w:p>
      <w:pPr/>
      <w:r>
        <w:rPr/>
        <w:t xml:space="preserve">- معجم المطبوعات 613.</w:t>
      </w:r>
    </w:p>
    <w:p/>
    <w:p>
      <w:pPr/>
      <w:r>
        <w:rPr/>
        <w:t xml:space="preserve">- معجم المؤلفين 11/ 209.</w:t>
      </w:r>
    </w:p>
    <w:p/>
    <w:p>
      <w:pPr/>
      <w:r>
        <w:rPr/>
        <w:t xml:space="preserve">- هدية العارفين 363/.</w:t>
      </w:r>
    </w:p>
    <w:p/>
    <w:p>
      <w:pPr/>
      <w:r>
        <w:rPr/>
        <w:t xml:space="preserve">- المؤرخين التونسيون ... (بالفرنسية) ص 293 - 295.</w:t>
      </w:r>
    </w:p>
    <w:p/>
    <w:p>
      <w:pPr/>
      <w:r>
        <w:rPr/>
        <w:t xml:space="preserve">- مجلة الندوة العدد 5 - 6 جويلية - أوت 1955 العدد 7 - 8 سبتمبر - اكتوبر 1955.</w:t>
      </w:r>
    </w:p>
    <w:p/>
    <w:p>
      <w:pPr/>
      <w:r>
        <w:rPr/>
        <w:t xml:space="preserve">- تونس وجامع الزيتونة لمحمد الخضر حسين، جمعه وحققه علي الرضا التونسي (المط/التعاونية بدمشق 1391/ 1971) ص 100 - 103.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2026-10-12T21:34:44+03:00</dcterms:created>
  <dcterms:modified xsi:type="dcterms:W3CDTF">2026-10-12T21:34:44+03:00</dcterms:modified>
</cp:coreProperties>
</file>

<file path=docProps/custom.xml><?xml version="1.0" encoding="utf-8"?>
<Properties xmlns="http://schemas.openxmlformats.org/officeDocument/2006/custom-properties" xmlns:vt="http://schemas.openxmlformats.org/officeDocument/2006/docPropsVTypes"/>
</file>