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الباروني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الباروني
</w:t>
      </w:r>
    </w:p>
    <w:p>
      <w:pPr/>
      <w:r>
        <w:rPr/>
        <w:t xml:space="preserve">الباروني  محمد بن زكريا الباروني الجربي الأباضي.</w:t>
      </w:r>
    </w:p>
    <w:p/>
    <w:p>
      <w:pPr/>
      <w:r>
        <w:rPr/>
        <w:t xml:space="preserve">مؤلفاته:</w:t>
      </w:r>
    </w:p>
    <w:p/>
    <w:p>
      <w:pPr/>
      <w:r>
        <w:rPr/>
        <w:t xml:space="preserve">1 - نسبة الدين طبعة حجرية بقسنطينة سنة 1301 هـ‍.</w:t>
      </w:r>
    </w:p>
    <w:p/>
    <w:p>
      <w:pPr/>
      <w:r>
        <w:rPr/>
        <w:t xml:space="preserve">2 - طبقات الأباضية.</w:t>
      </w:r>
    </w:p>
    <w:p/>
    <w:p>
      <w:pPr/>
      <w:r>
        <w:rPr/>
        <w:t xml:space="preserve">3 - رسالة في حملة النصارى على جربة سنة 916/ 1574 ملحقة بكتاب «مؤنس الأحبة».</w:t>
      </w:r>
    </w:p>
    <w:p/>
    <w:p>
      <w:pPr/>
      <w:r>
        <w:rPr/>
        <w:t xml:space="preserve">المرجع:</w:t>
      </w:r>
    </w:p>
    <w:p/>
    <w:p>
      <w:pPr/>
      <w:r>
        <w:rPr/>
        <w:t xml:space="preserve">- نظام العزابة عند الأباضية الوهبية في جربة، للأستاذ فرحات الجعبيري (ط تونس 1975) ص 345.</w:t>
      </w:r>
    </w:p>
    <w:p/>
    <w:p>
      <w:pPr/>
      <w:r>
        <w:rPr/>
        <w:t xml:space="preserve">* * *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1،ص 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2026-07-29T00:06:29+03:00</dcterms:created>
  <dcterms:modified xsi:type="dcterms:W3CDTF">2026-07-29T00:06:29+03:00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