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w:t>
      </w:r>
    </w:p>
    <w:p>
      <w:pPr>
        <w:jc w:val="start"/>
        <w:bidi/>
      </w:pPr>
      <w:r>
        <w:rPr>
          <w:rFonts w:ascii="arial" w:hAnsi="arial" w:eastAsia="arial" w:cs="arial"/>
          <w:sz w:val="28"/>
          <w:szCs w:val="28"/>
          <w:b w:val="1"/>
          <w:bCs w:val="1"/>
          <w:rtl/>
        </w:rPr>
        <w:t xml:space="preserve">الأندلسي
</w:t>
      </w:r>
    </w:p>
    <w:p>
      <w:pPr/>
      <w:r>
        <w:rPr/>
        <w:t xml:space="preserve">الأندلسي  علي بن إبراهيم بن أحمد بن غانم الأندلسي، المعروف بآرباش وهو اسم أطلق عليه بالاسبانية ويسمى أيضا بالمعجام، نزيل تونس.</w:t>
      </w:r>
    </w:p>
    <w:p/>
    <w:p>
      <w:pPr/>
      <w:r>
        <w:rPr/>
        <w:t xml:space="preserve">ولد بقرب غرناطة بعد خروج المسلمين من إسبانيا، ثم خرج منها وتعاطى الجهاد في البحر ضد الاسبان وهو ما يعبر عنه تعبيرا غير صادق بالقرصنة. وتعاطيه للجهاد في البحر كان شأن كثير من الأندلسيين المهاجرين في ذلك العصر وما قاربه بعد خروج المسلمين من الأندلس.</w:t>
      </w:r>
    </w:p>
    <w:p/>
    <w:p>
      <w:pPr/>
      <w:r>
        <w:rPr/>
        <w:t xml:space="preserve">دعي إلى تونس وعهد إليه بالدفاع عنها.</w:t>
      </w:r>
    </w:p>
    <w:p/>
    <w:p>
      <w:pPr/>
      <w:r>
        <w:rPr/>
        <w:t xml:space="preserve">له:</w:t>
      </w:r>
    </w:p>
    <w:p/>
    <w:p>
      <w:pPr/>
      <w:r>
        <w:rPr/>
        <w:t xml:space="preserve">العز والمنافع للمجاهدين في سبيل الله بآلات الحروب والمدافع، وهو في وصف آلات الحرب على اختلاف أشكالها مع إيضاح ذلك بالرسوم. منه نسخة في دار الكتب المصرية وفي الجزائر وفي فيينا.</w:t>
      </w:r>
    </w:p>
    <w:p/>
    <w:p>
      <w:pPr/>
      <w:r>
        <w:rPr/>
        <w:t xml:space="preserve">المراجع:</w:t>
      </w:r>
    </w:p>
    <w:p/>
    <w:p>
      <w:pPr/>
      <w:r>
        <w:rPr/>
        <w:t xml:space="preserve">- تاريخ آداب اللغة العربية لجرجي زيدان 3/ 364.</w:t>
      </w:r>
    </w:p>
    <w:p/>
    <w:p>
      <w:pPr/>
      <w:r>
        <w:rPr/>
        <w:t xml:space="preserve">- المنجد في الأدب والعلوم.</w:t>
      </w:r>
    </w:p>
    <w:p/>
    <w:p>
      <w:pPr/>
      <w:r>
        <w:rPr/>
        <w:t xml:space="preserve">- إيضاح المكنون 2/ 273، 424، 1/ 73 (في ترجمة الأندلسي علي بن إبراهيم بن أحمد). وكتابه العز والمنافع منه نسخة بالمكتبة الوطنية بتونس رقم 440، وحقق الجزء الأول منه سعيد بن عثمان سنة 1974 لنيل درجة الكفاءة في البحث العلمي من قسم اللغة العربية في كلية الآداب بالجامعة التونسية (لم ينشر).</w:t>
      </w:r>
    </w:p>
    <w:p/>
    <w:p>
      <w:pPr/>
      <w:r>
        <w:rPr/>
        <w:t xml:space="preserve">- إيضاح المكنون 2/ 147.</w:t>
      </w:r>
    </w:p>
    <w:p/>
    <w:p>
      <w:pPr/>
      <w:r>
        <w:rPr/>
        <w:t xml:space="preserve">- هدية العارفين 1/ 21 وفيه أنه فرغ منه سنة 1048 وأنه موجود بدار الكتب كوبرلي. المؤرخون التونسيون ص 33 هامش.</w:t>
      </w:r>
    </w:p>
    <w:p/>
    <w:p>
      <w:pPr/>
      <w:r>
        <w:rPr/>
        <w:t xml:space="preserve">- وثائق عن الهجرة الأندلسية الأخيرة إلى تونس بقلم عبد المجيد التركي، حوليات الجامعة التونسية ع 4، 1967، ص 64 - 67.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2026-10-12T20:24:19+03:00</dcterms:created>
  <dcterms:modified xsi:type="dcterms:W3CDTF">2026-10-12T20:24:19+03:00</dcterms:modified>
</cp:coreProperties>
</file>

<file path=docProps/custom.xml><?xml version="1.0" encoding="utf-8"?>
<Properties xmlns="http://schemas.openxmlformats.org/officeDocument/2006/custom-properties" xmlns:vt="http://schemas.openxmlformats.org/officeDocument/2006/docPropsVTypes"/>
</file>