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ثروت
</w:t>
      </w:r>
    </w:p>
    <w:p>
      <w:pPr>
        <w:jc w:val="start"/>
        <w:bidi/>
      </w:pPr>
      <w:r>
        <w:rPr>
          <w:rFonts w:ascii="arial" w:hAnsi="arial" w:eastAsia="arial" w:cs="arial"/>
          <w:sz w:val="28"/>
          <w:szCs w:val="28"/>
          <w:b w:val="1"/>
          <w:bCs w:val="1"/>
          <w:rtl/>
        </w:rPr>
        <w:t xml:space="preserve">يوسف ثروت
</w:t>
      </w:r>
    </w:p>
    <w:p>
      <w:pPr/>
      <w:r>
        <w:rPr/>
        <w:t xml:space="preserve">يوسف ثروت  يوسف عبد المسيح ثروت:أديب من أهالي العراق. له (الطريق والحدود) مقالات في الأدب والمسرح والفن (أعلام القضية الغربية) جزآن (أقطاب المدرسة الرومانسية)، (بين الفلسفة المادية الجدلية والمثالية البورجوازية)، (الحلقة المفرغة) مسرحية (فن الأدب)، (في الأدب والنقد الأدبي) لمكسيم غوركي، (كانديد) لفولتير (معالم الدراما في العصر الحديث).</w:t>
      </w:r>
    </w:p>
    <w:p/>
    <w:p>
      <w:pPr>
        <w:jc w:val="start"/>
        <w:bidi/>
      </w:pPr>
      <w:r>
        <w:rPr>
          <w:sz w:val="24"/>
          <w:szCs w:val="24"/>
          <w:b w:val="1"/>
          <w:bCs w:val="1"/>
          <w:rtl/>
        </w:rPr>
        <w:t xml:space="preserve">
إتمام الأعلام،(دار صادر - بيروت،1999،ط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2026-10-12T19:53:16+03:00</dcterms:created>
  <dcterms:modified xsi:type="dcterms:W3CDTF">2026-10-12T19:53:16+03:00</dcterms:modified>
</cp:coreProperties>
</file>

<file path=docProps/custom.xml><?xml version="1.0" encoding="utf-8"?>
<Properties xmlns="http://schemas.openxmlformats.org/officeDocument/2006/custom-properties" xmlns:vt="http://schemas.openxmlformats.org/officeDocument/2006/docPropsVTypes"/>
</file>