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الدويهي
</w:t>
      </w:r>
    </w:p>
    <w:p>
      <w:pPr>
        <w:jc w:val="start"/>
        <w:bidi/>
      </w:pPr>
      <w:r>
        <w:rPr>
          <w:rFonts w:ascii="arial" w:hAnsi="arial" w:eastAsia="arial" w:cs="arial"/>
          <w:sz w:val="28"/>
          <w:szCs w:val="28"/>
          <w:b w:val="1"/>
          <w:bCs w:val="1"/>
          <w:rtl/>
        </w:rPr>
        <w:t xml:space="preserve">الدويهي
</w:t>
      </w:r>
    </w:p>
    <w:p>
      <w:pPr/>
      <w:r>
        <w:rPr/>
        <w:t xml:space="preserve">الدويهي  إسطفانوس بن ميخائيل الدويهي: بطريرك ماروني، مؤرخ. ولد بإهدن (لبنان) وتعلم في رومة, وأنشأ مدرسة في إهدن. وأقام مدة في حلب. وانتخب بطريركا للموارنة في أنطاكية وسائر المشرق سنة 1670 وألف كتبا، منها (تاريخ الطائفة المارونية - ط) و (تاريخ - خ) مختصر في 191 ورقة من بدء الاسلام نإلى سنة وفاته. وألق به من وفاته 1704 م إلى 1733 والنسخة في الظاهرية بدمشق. </w:t>
      </w:r>
    </w:p>
    <w:p>
      <w:pPr>
        <w:jc w:val="start"/>
        <w:bidi/>
      </w:pPr>
      <w:r>
        <w:rPr>
          <w:sz w:val="24"/>
          <w:szCs w:val="24"/>
          <w:b w:val="1"/>
          <w:bCs w:val="1"/>
          <w:rtl/>
        </w:rPr>
        <w:t xml:space="preserve">
الأعلام،(دار العلم للملايين - بيروت،2002،ط 15،ج 1،ص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2026-09-20T10:17:42+03:00</dcterms:created>
  <dcterms:modified xsi:type="dcterms:W3CDTF">2026-09-20T10:17:42+03:00</dcterms:modified>
</cp:coreProperties>
</file>

<file path=docProps/custom.xml><?xml version="1.0" encoding="utf-8"?>
<Properties xmlns="http://schemas.openxmlformats.org/officeDocument/2006/custom-properties" xmlns:vt="http://schemas.openxmlformats.org/officeDocument/2006/docPropsVTypes"/>
</file>