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عبد ربه
</w:t>
      </w:r>
    </w:p>
    <w:p>
      <w:pPr>
        <w:jc w:val="start"/>
        <w:bidi/>
      </w:pPr>
      <w:r>
        <w:rPr>
          <w:rFonts w:ascii="arial" w:hAnsi="arial" w:eastAsia="arial" w:cs="arial"/>
          <w:sz w:val="28"/>
          <w:szCs w:val="28"/>
          <w:b w:val="1"/>
          <w:bCs w:val="1"/>
          <w:rtl/>
        </w:rPr>
        <w:t xml:space="preserve">نبيه عبد ربه
</w:t>
      </w:r>
    </w:p>
    <w:p>
      <w:pPr/>
      <w:r>
        <w:rPr/>
        <w:t xml:space="preserve">نبيه عبد ربه  نبيه زكريا عبد ربه: داعية باحث من أهالي القدس، نزح إلى الأردن فاشتغل بالتعليم وحصل على دبلوم المعلمين، فانتقل إلى السعودية فقطر وبها عمل بالصحافة. له (الحركات الإسلامية ضد اليهودية والصليبية والشيوعية)، (كيف نحيا بالقرآن)، (حسن الهضيبي)، (عبد رب الرسول سياف: قائد الجهاد الأفغاني) وله كتب لا تزال مخطوطة.</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2026-10-12T17:06:12+03:00</dcterms:created>
  <dcterms:modified xsi:type="dcterms:W3CDTF">2026-10-12T17:06:12+03:00</dcterms:modified>
</cp:coreProperties>
</file>

<file path=docProps/custom.xml><?xml version="1.0" encoding="utf-8"?>
<Properties xmlns="http://schemas.openxmlformats.org/officeDocument/2006/custom-properties" xmlns:vt="http://schemas.openxmlformats.org/officeDocument/2006/docPropsVTypes"/>
</file>