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الجويجاتي
</w:t>
      </w:r>
    </w:p>
    <w:p>
      <w:pPr>
        <w:jc w:val="start"/>
        <w:bidi/>
      </w:pPr>
      <w:r>
        <w:rPr>
          <w:rFonts w:ascii="arial" w:hAnsi="arial" w:eastAsia="arial" w:cs="arial"/>
          <w:sz w:val="28"/>
          <w:szCs w:val="28"/>
          <w:b w:val="1"/>
          <w:bCs w:val="1"/>
          <w:rtl/>
        </w:rPr>
        <w:t xml:space="preserve">الجويجاتي
</w:t>
      </w:r>
    </w:p>
    <w:p>
      <w:pPr/>
      <w:r>
        <w:rPr/>
        <w:t xml:space="preserve">الجويجاتي  مصفى حمدي بن محمد وحيد الجويجاتي: عالم مجاهد. ولد بدمشق، وحفظ القرآن صغيرا، ولازم كبار العلماء شارك في ميسلون وفي معارك الثورة السورية. أسس مع أخيه مصنعا للنسيج، ونشر تعليم مهنة الحياكة حسبة لله، وكانت محتكرة عند أصحابها. وشارك إخوته بالتجارة مع حلب واستانبول. تولى إدارة الجامع الأموي، وأم وخطب في مساجد دمشق، واهتم بتعليم القرآن، وقد حفظ عليه جماعة اشتهروا. ألف رسائل كثيرة في بيان أحوال الفرق والعقائد المنحرفة، منها (الحق المبين في الرد على القاديانية الدجالين)، (العقيدة الإسلامية والرد على نظريات الماديين)، (الإصابة) أجزاء متعددة. وله مناظرات مع القساوسة.</w:t>
      </w:r>
    </w:p>
    <w:p/>
    <w:p>
      <w:pPr>
        <w:jc w:val="start"/>
        <w:bidi/>
      </w:pPr>
      <w:r>
        <w:rPr>
          <w:sz w:val="24"/>
          <w:szCs w:val="24"/>
          <w:b w:val="1"/>
          <w:bCs w:val="1"/>
          <w:rtl/>
        </w:rPr>
        <w:t xml:space="preserve">
إتمام الأعلام،(دار صادر - بيروت،1999،ط 1،ج 1،ص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2026-10-12T15:17:53+03:00</dcterms:created>
  <dcterms:modified xsi:type="dcterms:W3CDTF">2026-10-12T15:17:53+03:00</dcterms:modified>
</cp:coreProperties>
</file>

<file path=docProps/custom.xml><?xml version="1.0" encoding="utf-8"?>
<Properties xmlns="http://schemas.openxmlformats.org/officeDocument/2006/custom-properties" xmlns:vt="http://schemas.openxmlformats.org/officeDocument/2006/docPropsVTypes"/>
</file>