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الطرازي
</w:t>
      </w:r>
    </w:p>
    <w:p>
      <w:pPr>
        <w:jc w:val="start"/>
        <w:bidi/>
      </w:pPr>
      <w:r>
        <w:rPr>
          <w:rFonts w:ascii="arial" w:hAnsi="arial" w:eastAsia="arial" w:cs="arial"/>
          <w:sz w:val="28"/>
          <w:szCs w:val="28"/>
          <w:b w:val="1"/>
          <w:bCs w:val="1"/>
          <w:rtl/>
        </w:rPr>
        <w:t xml:space="preserve">الطرازي
</w:t>
      </w:r>
    </w:p>
    <w:p>
      <w:pPr/>
      <w:r>
        <w:rPr/>
        <w:t xml:space="preserve">الطرازي  محمود نذير الطرازي: علامة مصنف من أهالي تركستان. كان سليل علماء أفاضل، تتلمذ على علماء بلاده وعكف بنفسه على المطالعة حتى نبغ. ولما ضاق بالحكم الشيوعي رحل إلى الحرمين عن طريق الهند فأقام بها مدة. وعين مدرسا بالمسجد النبوي فاستمرت حلقته فيه نحو ثلاثين سنة. ترجم كتبا كثيرة إلى اللغة التركستانية منها (القرآن الكريم وتفسيره)، (رياض الصالحين) للنووي (الفقه الأكبر) لأبي حنيفة (نور البصر) وله بالعربية (نظم الحاوي)، (الجوهر المنظوم في إسناد العلوم) ونظم أشعارا بالعربية.</w:t>
      </w:r>
    </w:p>
    <w:p/>
    <w:p>
      <w:pPr>
        <w:jc w:val="start"/>
        <w:bidi/>
      </w:pPr>
      <w:r>
        <w:rPr>
          <w:sz w:val="24"/>
          <w:szCs w:val="24"/>
          <w:b w:val="1"/>
          <w:bCs w:val="1"/>
          <w:rtl/>
        </w:rPr>
        <w:t xml:space="preserve">
إتمام الأعلام،(دار صادر - بيروت،1999،ط 1،ج 1،ص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2026-07-28T20:56:12+03:00</dcterms:created>
  <dcterms:modified xsi:type="dcterms:W3CDTF">2026-07-28T20:56:12+03:00</dcterms:modified>
</cp:coreProperties>
</file>

<file path=docProps/custom.xml><?xml version="1.0" encoding="utf-8"?>
<Properties xmlns="http://schemas.openxmlformats.org/officeDocument/2006/custom-properties" xmlns:vt="http://schemas.openxmlformats.org/officeDocument/2006/docPropsVTypes"/>
</file>