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الرنكوسي
</w:t>
      </w:r>
    </w:p>
    <w:p>
      <w:pPr>
        <w:jc w:val="start"/>
        <w:bidi/>
      </w:pPr>
      <w:r>
        <w:rPr>
          <w:rFonts w:ascii="arial" w:hAnsi="arial" w:eastAsia="arial" w:cs="arial"/>
          <w:sz w:val="28"/>
          <w:szCs w:val="28"/>
          <w:b w:val="1"/>
          <w:bCs w:val="1"/>
          <w:rtl/>
        </w:rPr>
        <w:t xml:space="preserve">الرنكوسي
</w:t>
      </w:r>
    </w:p>
    <w:p>
      <w:pPr/>
      <w:r>
        <w:rPr/>
        <w:t xml:space="preserve">الرنكوسي  محمود بن قاسم بعيون المعروف بالرنكوسي: عالم مرب. ولد في رنكوس قرب دمشق، رحل إلى دمشق صغيرا، فنزل بمدرسة دار الحديث، ولزم الشيخ بدر الدين الحسني، وقرأ على غيره. ترأس جمعية دار الحديث مشاركة، ودرس في الكلية الشرعية سنين. له (الدور اللؤلؤية في النعوت البدرية)، (ترجمة شيخه الحسني)، (القضاء الرباني بوفاة الشيخ أبي الخير الميداني)، (المعرفة الحقيقية لدار الحديث الأشرفية)، (فيض الإرهاب في موافقات سيدنا عمر بن الخطاب). توفي بدمشق.</w:t>
      </w:r>
    </w:p>
    <w:p/>
    <w:p>
      <w:pPr>
        <w:jc w:val="start"/>
        <w:bidi/>
      </w:pPr>
      <w:r>
        <w:rPr>
          <w:sz w:val="24"/>
          <w:szCs w:val="24"/>
          <w:b w:val="1"/>
          <w:bCs w:val="1"/>
          <w:rtl/>
        </w:rPr>
        <w:t xml:space="preserve">
إتمام الأعلام،(دار صادر - بيروت،1999،ط 1،ج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2026-07-29T01:36:25+03:00</dcterms:created>
  <dcterms:modified xsi:type="dcterms:W3CDTF">2026-07-29T01:36:25+03:00</dcterms:modified>
</cp:coreProperties>
</file>

<file path=docProps/custom.xml><?xml version="1.0" encoding="utf-8"?>
<Properties xmlns="http://schemas.openxmlformats.org/officeDocument/2006/custom-properties" xmlns:vt="http://schemas.openxmlformats.org/officeDocument/2006/docPropsVTypes"/>
</file>