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الصالح مراد
</w:t>
      </w:r>
    </w:p>
    <w:p>
      <w:pPr>
        <w:jc w:val="start"/>
        <w:bidi/>
      </w:pPr>
      <w:r>
        <w:rPr>
          <w:rFonts w:ascii="arial" w:hAnsi="arial" w:eastAsia="arial" w:cs="arial"/>
          <w:sz w:val="28"/>
          <w:szCs w:val="28"/>
          <w:b w:val="1"/>
          <w:bCs w:val="1"/>
          <w:rtl/>
        </w:rPr>
        <w:t xml:space="preserve">محمد الصالح مراد
</w:t>
      </w:r>
    </w:p>
    <w:p>
      <w:pPr/>
      <w:r>
        <w:rPr/>
        <w:t xml:space="preserve">محمد الصالح مراد  محمد الصالح بن أحمد مراد: فقيه عالم من تونس. تفقه بالزيتونة. أسند إليه الباي محمد المنصف سنة 1942 خطة مشيخة الإسلام الحنفي ورئاسة المحكمة الشرعية العليا، وجرده الباي محمد الأمين من المشيخة عام 1946 حينما تزعم عريضة شيوخ الزيتونة الذين طالبوا بإطلاق سراح أعضاء المؤتمر بعد اعتقال هؤلاء في مؤتمر ليلة القدر التاريخي. كان عضوا بهيئة الخلدونية ثم صار نائبا لرئيسها، كما كان عضوا بأغلب لجان إصلاح التعليم الزيتوني. أصدر مجلة (شمس الإسلام) له (الحداد على امرأة الحداد) رد فيه على كتاب الطاهر الحداد (امرأتنا في الشريعة والمجتمع).</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الصالح بن أحمد مراد 
</w:t>
      </w:r>
    </w:p>
    <w:p>
      <w:pPr/>
      <w:r>
        <w:rPr/>
        <w:t xml:space="preserve">الفقيه، العالم.</w:t>
      </w:r>
    </w:p>
    <w:p/>
    <w:p>
      <w:pPr/>
      <w:r>
        <w:rPr/>
        <w:t xml:space="preserve">تفقه بجامع الزيتونة، وتخرج عام 1900 م. أسند إليه الباي محمد المنصف سنة 1942 م خطة مشيخة الإسلام الحنفي، ورئاسة المحكمة الشرعية العليا (الديوان) وجرده من المشيخة الباي محمد الأمين سنة 1946 عندما تزعم عريضة ’’شيوخ الزيتونة’’ المطالبين بإطلاق سراح أعضاء المؤتمر الذين اعتقلوا في مؤتمر ليلة القدر التاريخي.</w:t>
      </w:r>
    </w:p>
    <w:p/>
    <w:p>
      <w:pPr/>
      <w:r>
        <w:rPr/>
        <w:t xml:space="preserve">كان عضواً بهيئة الخلدونية، وأصبح نائباً للرئيس عام 1931، كما كان عضواً بأغلب لجان إصلاح التعليم الزيتوني.</w:t>
      </w:r>
    </w:p>
    <w:p/>
    <w:p>
      <w:pPr/>
      <w:r>
        <w:rPr/>
        <w:t xml:space="preserve">وكتب في جريدة ’’الزهرة’’ وأصدر أعداداً من مجلته ’’شمس الإسلام’’.</w:t>
      </w:r>
    </w:p>
    <w:p/>
    <w:p>
      <w:pPr/>
      <w:r>
        <w:rPr/>
        <w:t xml:space="preserve">من مؤلفاته:</w:t>
      </w:r>
    </w:p>
    <w:p/>
    <w:p>
      <w:pPr/>
      <w:r>
        <w:rPr/>
        <w:t xml:space="preserve">- الحداد على امرأة الحداد، 1931 م. رد فيه بتوسع على كتاب ’’امرأتنا في الشريعة والمجتمع’’ للطاهر حداد، الذي صدر عام 1930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2026-10-12T07:50:22+03:00</dcterms:created>
  <dcterms:modified xsi:type="dcterms:W3CDTF">2026-10-12T07:50:22+03:00</dcterms:modified>
</cp:coreProperties>
</file>

<file path=docProps/custom.xml><?xml version="1.0" encoding="utf-8"?>
<Properties xmlns="http://schemas.openxmlformats.org/officeDocument/2006/custom-properties" xmlns:vt="http://schemas.openxmlformats.org/officeDocument/2006/docPropsVTypes"/>
</file>