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w:t>
      </w:r>
    </w:p>
    <w:p>
      <w:pPr>
        <w:jc w:val="start"/>
        <w:bidi/>
      </w:pPr>
      <w:r>
        <w:rPr>
          <w:rFonts w:ascii="arial" w:hAnsi="arial" w:eastAsia="arial" w:cs="arial"/>
          <w:sz w:val="28"/>
          <w:szCs w:val="28"/>
          <w:b w:val="1"/>
          <w:bCs w:val="1"/>
          <w:rtl/>
        </w:rPr>
        <w:t xml:space="preserve">الخطيب
</w:t>
      </w:r>
    </w:p>
    <w:p>
      <w:pPr/>
      <w:r>
        <w:rPr/>
        <w:t xml:space="preserve">الخطيب  محمد صالح بن أحمد بن عبد الرحمن الخطيب الحسني: عالم باحث من أهالي سورية. ولد في عكا، ونشأ وتوفي بدمشق، وتعلم بمدارسها، ثم رحل به أخوه إلى الأناضول، فتابع بها تعليمه، ولازم سنة دراسية واحدة بدار المعلمين العالية في الجامعة التركية، ودعي للخدمة العسكرية في أثناء الحرب العالمية الأولى، فلما انتهت باستسلام تركيا - وكان في فلسطين - عاد إلى دمشق فاشتغل بالتعليم. وأسر في معركة ميسلون. خطب بمساجد بلده، ومارس أعمالا حرة. من مؤلفاته (الدرر المنتثرة والخطب المختصرة) ديوان خطيب، (مبدأ السلم الإسلامي العالمي)، (تلخيص السيرة المحمدية والخلفاء الراشدين)، (سفينة الدر الثمين في مدائح الرسول الأمين)، (الاستجابة لنصرة الخلفاء الراشدية والصحابية)، (رسالة البرهان الأزهر على براءة الشيخ الأكبر)، (الضوء الضاوي في ترجمة الإمام النواوي)، (المورد السني في ترجمة سيدنا عبد القادر الجيلاني)، (الدرر الفوائد في بيان خلاصة العقائد)، (هداية المسترشدين إلى معرفة عقائد العارفين)، (الإيذان في فضل وسند الأذان)، (غزوة الحديبية وبيعة الرضوان)، (هداية الأمة إلى موجز سيرة رسول الرحمة صلى الله عليه وسلم)، (قراءة كلمات وآيات القرآن في المصاحف الموافقة لرسم مصحف سيدنا عثمان)، (تحذير المؤمنين والمؤمنات من الوقوع في المعاصي والمحرمات والترغيب في أداء الطاعات)، (القول اللطيف وموجز المقال في جواز العمل بالحديث الضعيف في فضائل الأعمال)، (تحقيق الدلالة في معجزات الرسول صلى الله عليه وسلم)، (دليل السالك لإتمام المناسك على المذاهب الأربعة)، (دليل الأنام إلى سبيل السلام)، (إرشاد الراغبين لتعلم أمور الدين وتعليم المبتدئين)، (موجز الجواب في أحكام الطعام والشراب)، (التحذير من نجاسة الكلب والخنزير)، (تزكية النفوس في حكم ذبائح المجوس)، (تذكرة الأخوان في تفسير أجمع آية في القرآن)، (خلاصة القول في بيان أحكام الغول). وله ثبت جمع فيه إجازاته سماه (الدرر الغالية في رواية الأسانيد العالية).</w:t>
      </w:r>
    </w:p>
    <w:p/>
    <w:p>
      <w:pPr>
        <w:jc w:val="start"/>
        <w:bidi/>
      </w:pPr>
      <w:r>
        <w:rPr>
          <w:sz w:val="24"/>
          <w:szCs w:val="24"/>
          <w:b w:val="1"/>
          <w:bCs w:val="1"/>
          <w:rtl/>
        </w:rPr>
        <w:t xml:space="preserve">
إتمام الأعلام،(دار صادر - بيروت،1999،ط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2026-10-12T07:46:47+03:00</dcterms:created>
  <dcterms:modified xsi:type="dcterms:W3CDTF">2026-10-12T07:46:47+03:00</dcterms:modified>
</cp:coreProperties>
</file>

<file path=docProps/custom.xml><?xml version="1.0" encoding="utf-8"?>
<Properties xmlns="http://schemas.openxmlformats.org/officeDocument/2006/custom-properties" xmlns:vt="http://schemas.openxmlformats.org/officeDocument/2006/docPropsVTypes"/>
</file>