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الفياض
</w:t>
      </w:r>
    </w:p>
    <w:p>
      <w:pPr>
        <w:jc w:val="start"/>
        <w:bidi/>
      </w:pPr>
      <w:r>
        <w:rPr>
          <w:rFonts w:ascii="arial" w:hAnsi="arial" w:eastAsia="arial" w:cs="arial"/>
          <w:sz w:val="28"/>
          <w:szCs w:val="28"/>
          <w:b w:val="1"/>
          <w:bCs w:val="1"/>
          <w:rtl/>
        </w:rPr>
        <w:t xml:space="preserve">الفياض
</w:t>
      </w:r>
    </w:p>
    <w:p>
      <w:pPr/>
      <w:r>
        <w:rPr/>
        <w:t xml:space="preserve">الفياض  محمد جابر الفياض: بحاثة من أهالي العراق. تخرج بكلية الآداب قسم اللغة العربية بجامعة بغداد ثم نال الماجستير والدكتوراه من جامعة القاهرة، فعين رئيسا لقسم اللغة العربية بجامعة بغداد. من كتبه (التورية وخلو القرآن الكريم منها)، (مفهوم الفصاحة)، (الكناية)، (الأمثال في القرآن الكريم)، (الأمثال في الحديث الشريف)، (العقد أو نظم النثر وأثر الحديث النبوي الشريف فيه)، (مفهوم البلاغة).</w:t>
      </w:r>
    </w:p>
    <w:p/>
    <w:p>
      <w:pPr>
        <w:jc w:val="start"/>
        <w:bidi/>
      </w:pPr>
      <w:r>
        <w:rPr>
          <w:sz w:val="24"/>
          <w:szCs w:val="24"/>
          <w:b w:val="1"/>
          <w:bCs w:val="1"/>
          <w:rtl/>
        </w:rPr>
        <w:t xml:space="preserve">
إتمام الأعلام،(دار صادر - بيروت،1999،ط 1،ج 1،ص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2026-10-12T05:39:48+03:00</dcterms:created>
  <dcterms:modified xsi:type="dcterms:W3CDTF">2026-10-12T05:39:48+03:00</dcterms:modified>
</cp:coreProperties>
</file>

<file path=docProps/custom.xml><?xml version="1.0" encoding="utf-8"?>
<Properties xmlns="http://schemas.openxmlformats.org/officeDocument/2006/custom-properties" xmlns:vt="http://schemas.openxmlformats.org/officeDocument/2006/docPropsVTypes"/>
</file>