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كحالة
</w:t>
      </w:r>
    </w:p>
    <w:p>
      <w:pPr>
        <w:jc w:val="start"/>
        <w:bidi/>
      </w:pPr>
      <w:r>
        <w:rPr>
          <w:rFonts w:ascii="arial" w:hAnsi="arial" w:eastAsia="arial" w:cs="arial"/>
          <w:sz w:val="28"/>
          <w:szCs w:val="28"/>
          <w:b w:val="1"/>
          <w:bCs w:val="1"/>
          <w:rtl/>
        </w:rPr>
        <w:t xml:space="preserve">كحالة
</w:t>
      </w:r>
    </w:p>
    <w:p>
      <w:pPr/>
      <w:r>
        <w:rPr/>
        <w:t xml:space="preserve">كحالة  عمر بن رضا بن محمد راغب بن عبد الغني كحالة: مؤرخ بحاثة. ولد بدمشق وتعلم بالتجهيز السلطانية (مكتب عنبر) وفي بلدة عاليه بلبنان، وعاد إلى دمشق فأتم تعليمه في المدرستين العازارية والبطريركية، وأخذ عن بعض العلماء. علم مدة في المدارس، واشتغل بالتجارة، فرحل من أجلها فلم يوفق، فانزوى في بعض المدارس الملحقة بالجامع الأموي، وانكب على قراءة كتاب إحياء علوم الدين، فأثر في نفسه وانصرف إلى الزهد والكتابة. ثم خرج في رحلة استمرت عامين إلى إفريقية البريطانية، ولما عاد نشر مقالات في مجلات دمشق، فلفت نظر علماء عصره، فكلفه محمد كردعلي رئيس المجمع العلمي إلقاء بعض المحاضرات، وعينه موظفا في دار الكتب الوطنية (الظاهرية) ثم صار مديرا لها. انتخب عضوا في المجمع العلمي العراقي والمجلس الأعلى للعلوم والمجلس الأعلى للفنون والآداب والعلوم الاجتماعية ومعهد التراث العلمي بحلب والجمعية المصرية للدراسات التاريخية والمجلس الأعلى للشؤون الإسلامية بمصر. ترك نحوا من سبعين مصنفا، أشهرها كتابه (معجم المؤلفين) 15 جزءا، والمستدرك عليه، ومنها (الأدب العربي في الجاهلية والإسلام)، (أعلام النساء في عالمي العرب والإسلام) 5 مجلدات، (إفريقية الغربية والبريطانية)، (اللغة العربية وعلومها)، (الألفاظ المعربة والموضوعة التي وردت في مجلة المجمع العلمي العربي) جزآن، (العلوم البحتة في العصور الإسلامية)، التاريخ والجغرافية في العصور الإسلامية)، (جغرافية شبه جزيرة العرب)، (جولة في ربوع التربية والتعليم)، (الحب)، (دراسات اجتماعية في العصور الإسلامية)، (الزواج) جزآن، (الزنا ومكافحته)، (سيف الله خالد بن الوليد)، (الطلاق)، (علوم الدين الإسلامي)، (العالم الإسلامي) جزآن، (العرب من هم وما قيل فيهم)، (الفلسفة الإسلامية وملحقاتها)، (الفنون الجميلة في العصور الإسلامية)، (المرأة في عالمي العرب والإسلام) جزآن، (المرأة في القديم والحديث) 3 أجزاء، (مقدمات ومباحث في العصور الإسلامية)، (معجم قبائل العرب القديمة والحديثة) 5 أجزاء، (المنتخب من مخطوطات المدينة المنورة)، (النسل والعناية به) جزآن، إلى جانب مقالات له في المجلات. ووضع فهارس مجلة المجمع العلمي العربي عن أربعين السنة الأولى. توفي بدمشق.</w:t>
      </w:r>
    </w:p>
    <w:p/>
    <w:p>
      <w:pPr>
        <w:jc w:val="start"/>
        <w:bidi/>
      </w:pPr>
      <w:r>
        <w:rPr>
          <w:sz w:val="24"/>
          <w:szCs w:val="24"/>
          <w:b w:val="1"/>
          <w:bCs w:val="1"/>
          <w:rtl/>
        </w:rPr>
        <w:t xml:space="preserve">
إتمام الأعلام،(دار صادر - بيروت،1999،ط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2026-10-12T01:42:48+03:00</dcterms:created>
  <dcterms:modified xsi:type="dcterms:W3CDTF">2026-10-12T01:42:48+03:00</dcterms:modified>
</cp:coreProperties>
</file>

<file path=docProps/custom.xml><?xml version="1.0" encoding="utf-8"?>
<Properties xmlns="http://schemas.openxmlformats.org/officeDocument/2006/custom-properties" xmlns:vt="http://schemas.openxmlformats.org/officeDocument/2006/docPropsVTypes"/>
</file>