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الفتاح الطاهر
</w:t>
      </w:r>
    </w:p>
    <w:p>
      <w:pPr>
        <w:jc w:val="start"/>
        <w:bidi/>
      </w:pPr>
      <w:r>
        <w:rPr>
          <w:rFonts w:ascii="arial" w:hAnsi="arial" w:eastAsia="arial" w:cs="arial"/>
          <w:sz w:val="28"/>
          <w:szCs w:val="28"/>
          <w:b w:val="1"/>
          <w:bCs w:val="1"/>
          <w:rtl/>
        </w:rPr>
        <w:t xml:space="preserve">عبد الفتاح الطاهر
</w:t>
      </w:r>
    </w:p>
    <w:p>
      <w:pPr/>
      <w:r>
        <w:rPr/>
        <w:t xml:space="preserve">عبد الفتاح الطاهر  عبد الفتاح يحيى الطاهر عبد الله: قصاص روائي من أهالي مصر. ولد في الكرنك وتعلم بها وحصل على دبلوم الزراعة، وعمل في وزارة الزراعة حتى تقاعد. كتب في القصة (ثلاث شجرات كبيرة تثمر برتقالا)، (الدف والصندوق)، (أنا وهي وزهور العالم)، (حكايات للأمير حتى ينام)، (الرقصة المباحة) وفي الرواية (الطوق والإسورة)، (الحقائق القديمة صالحة لإثارة الدهشة)، (تصاوير من التراب والماء والشمس)، (حكاية على لسان كلب)، (الكتابات الكاملة). وفي المسرح (مناقشة قبل القتل)، (سكان ما بعد ريح الشمال)، (هل كان ذلك ممكنا). ولصبري حافظ (قصص يحيى الطاهر عبد الله الطويلة).</w:t>
      </w:r>
    </w:p>
    <w:p/>
    <w:p>
      <w:pPr>
        <w:jc w:val="start"/>
        <w:bidi/>
      </w:pPr>
      <w:r>
        <w:rPr>
          <w:sz w:val="24"/>
          <w:szCs w:val="24"/>
          <w:b w:val="1"/>
          <w:bCs w:val="1"/>
          <w:rtl/>
        </w:rPr>
        <w:t xml:space="preserve">
إتمام الأعلام،(دار صادر - بيروت،1999،ط 1،ج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2026-10-11T20:54:30+03:00</dcterms:created>
  <dcterms:modified xsi:type="dcterms:W3CDTF">2026-10-11T20:54:30+03:00</dcterms:modified>
</cp:coreProperties>
</file>

<file path=docProps/custom.xml><?xml version="1.0" encoding="utf-8"?>
<Properties xmlns="http://schemas.openxmlformats.org/officeDocument/2006/custom-properties" xmlns:vt="http://schemas.openxmlformats.org/officeDocument/2006/docPropsVTypes"/>
</file>