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عبد الخالق
</w:t>
      </w:r>
    </w:p>
    <w:p>
      <w:pPr>
        <w:jc w:val="start"/>
        <w:bidi/>
      </w:pPr>
      <w:r>
        <w:rPr>
          <w:rFonts w:ascii="arial" w:hAnsi="arial" w:eastAsia="arial" w:cs="arial"/>
          <w:sz w:val="28"/>
          <w:szCs w:val="28"/>
          <w:b w:val="1"/>
          <w:bCs w:val="1"/>
          <w:rtl/>
        </w:rPr>
        <w:t xml:space="preserve">عبد الغني عبد الخالق
</w:t>
      </w:r>
    </w:p>
    <w:p>
      <w:pPr/>
      <w:r>
        <w:rPr/>
        <w:t xml:space="preserve">عبد الغني عبد الخالق  عبد الغني بن محمد عبد الخالق: من كبار العلماء المحققين الأزهريين. ولد بالقاهرة لأسرة علم ودين، وحفظ القرآن الكريم صغيرا، والتحق بالمعاهد، ونال شهادة العالمية في أصول الفقه من الأزهر، وكان من أساتذته مدة تزيد على أربعين عاما. اختير عضوا بمجمع البحوث الإسلامية، وشارك في موسوعة الفقه. رحل أستاذا زائرا لجامعات العراق وليبيا والمغرب والسعودية في مدة قصيرة. منح وسام الدولة من رئيس الجمهورية خلال العيد الألفي للأزهر. من مؤلفاته (حجية السنة) أطروحته للدكتوراه، (الإمام البخاري وصحيحه)، (أصول الفقه لغير الحنفية)، (بحوث في السنة المشرفة)، (مبادئ كلامية)، (حجية الإجماع)، (أحكام الرضاع)، (الكلام على حقيقة نكاح المتعة وبعض ما يتصل بذلك)، (مباحث أصولية في الحكم والمحكوم عليه). ومن تحقيقاته (أحكام القرآن) للإمام الشافعي، (آداب الشافعي ومناقبه) لابن أبي حاتم، (الطب النبوي) لابن القيم، (منتهى الإرادات) للحنبلي.</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2026-10-11T20:56:08+03:00</dcterms:created>
  <dcterms:modified xsi:type="dcterms:W3CDTF">2026-10-11T20:56:08+03:00</dcterms:modified>
</cp:coreProperties>
</file>

<file path=docProps/custom.xml><?xml version="1.0" encoding="utf-8"?>
<Properties xmlns="http://schemas.openxmlformats.org/officeDocument/2006/custom-properties" xmlns:vt="http://schemas.openxmlformats.org/officeDocument/2006/docPropsVTypes"/>
</file>