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الخير
</w:t>
      </w:r>
    </w:p>
    <w:p>
      <w:pPr>
        <w:jc w:val="start"/>
        <w:bidi/>
      </w:pPr>
      <w:r>
        <w:rPr>
          <w:rFonts w:ascii="arial" w:hAnsi="arial" w:eastAsia="arial" w:cs="arial"/>
          <w:sz w:val="28"/>
          <w:szCs w:val="28"/>
          <w:b w:val="1"/>
          <w:bCs w:val="1"/>
          <w:rtl/>
        </w:rPr>
        <w:t xml:space="preserve">الخير
</w:t>
      </w:r>
    </w:p>
    <w:p>
      <w:pPr/>
      <w:r>
        <w:rPr/>
        <w:t xml:space="preserve">الخير  عبد الرحمن بن محمد بن ديب الخير: من فقهاء الجعفرية. ولد في القرداحة شمال سورية، وتعلم على والده مبادئ العربية والفقه وبالمدرسة الرشادية ببلدته، وتابع بقرية العنازة قرب بانياس، فما أغلقت مع اندلاع الثورة السورية لزم الشيخ سليمان الأحمد، وقرأ عليه علوم الشريعة والعربية والأدب، واستأنف دراسته بالمدرسة الرشادية لما أعيد افتتاحها. تعلم الفرنسية، وأتقنها. ونال شهادة التعليم (القسم الثاني). أسس مع أصدقائه عام 1925 جمعية اللا طائفية الإصلاحية. وبقيت تعمل سرا حتى حلت. كما أسس المدرسة التهذيبية في بلدة برمانة، وأوذي في سبيلها. وأسهم كذلك بتأسيس الجمعية الخيرية الإسلامية الجعفرية في اللاذقية، ووضع نظامها الداخلي، فقامت ببناء عشرات المساجد في المدن والقرى، ونشطت في بث الثقافة الدينية. نيفت مؤلفاته على العشرين، وطبع أغلبها، منها (نقد تاريخ العلويين) لمحمد أمين الطويل، (قصة التقريب)، (موقف الدين الإسلامي من الإجهاض والتعقيم)، (رسائل من أب إلى ابنته-خ)، (ساعات مع الكتب والرجال-خ)، (تعريف بالعلويين)، (من الطلائع)، (سلسلة تراجم مشاهير الأدباء والشعراء في اللاذقية في القرنين الأخيرين-خ). ولابنه هاني الخير كتاب (من تراث عبد الرحمن الخير). توفي دمشق.</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2026-07-27T21:48:45+03:00</dcterms:created>
  <dcterms:modified xsi:type="dcterms:W3CDTF">2026-07-27T21:48:45+03:00</dcterms:modified>
</cp:coreProperties>
</file>

<file path=docProps/custom.xml><?xml version="1.0" encoding="utf-8"?>
<Properties xmlns="http://schemas.openxmlformats.org/officeDocument/2006/custom-properties" xmlns:vt="http://schemas.openxmlformats.org/officeDocument/2006/docPropsVTypes"/>
</file>