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عبد الرحمن بن عبد الله بن عتيق: قاض مرب من أهالي نجد. رحل إلى البحرين، ثم انتقل إلى الحمرية في الشارقة بمنطقة الإمارات العربية المتحدة فعمل بالتعليم. وذاع صيته فاستدعاه شيخ أم القيوين ليعلم أبناءه وليؤسس أول مدرسة فيها عام 1945 كان مقرها في بيت أخيه إبراهيم. وتولى الإمامة في مسجد الشيخ راشد فيها إلى جانب اشتغاله بالخطابة والوعظ والقضاء مدة طويلة.</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2026-07-28T19:12:44+03:00</dcterms:created>
  <dcterms:modified xsi:type="dcterms:W3CDTF">2026-07-28T19:12:44+03:00</dcterms:modified>
</cp:coreProperties>
</file>

<file path=docProps/custom.xml><?xml version="1.0" encoding="utf-8"?>
<Properties xmlns="http://schemas.openxmlformats.org/officeDocument/2006/custom-properties" xmlns:vt="http://schemas.openxmlformats.org/officeDocument/2006/docPropsVTypes"/>
</file>