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البيطار
</w:t>
      </w:r>
    </w:p>
    <w:p>
      <w:pPr>
        <w:jc w:val="start"/>
        <w:bidi/>
      </w:pPr>
      <w:r>
        <w:rPr>
          <w:rFonts w:ascii="arial" w:hAnsi="arial" w:eastAsia="arial" w:cs="arial"/>
          <w:sz w:val="28"/>
          <w:szCs w:val="28"/>
          <w:b w:val="1"/>
          <w:bCs w:val="1"/>
          <w:rtl/>
        </w:rPr>
        <w:t xml:space="preserve">البيطار
</w:t>
      </w:r>
    </w:p>
    <w:p>
      <w:pPr/>
      <w:r>
        <w:rPr/>
        <w:t xml:space="preserve">البيطار  صلاح الدين بن محمد خير البيطار: من مشاهير السياسة في سورية. ولد بدمشق، وتعلم بها، وحصل على إجازة العلوم من جامعتها، ثم درس بثانوياتها بضع سنوات. ورحل إلى السوربون فنال شهادة الفلسفة. عمل في الصحافة، ورافق أكرم الحوراني وميشيل عفلق، وشاركهما بتأسيس حزب البعث، وأصدر الجريدة التي تحمل اسمه. انتخب نائبا عن دمشق في البرلمان، ثم كان وزيرا للخارجية قبل الوحدة مع مصر، ووزيرا للثقافة في أثنائها، فوزير دولة للشؤون العربية بعدها. وترأس الوزارة السورية بين عامي 1963 و1966 خمس مرات. وأبعد عن الحكم، فسافر إلى باريس واستقر بها وأصدر فيها صحيفة الإحياء العربي. وقتل غيلة هناك. من مؤلفاته (السياسة العربية بين المبدأ والتطبيق)، (الفئة الحاكمة في طريق الانهيار).</w:t>
      </w:r>
    </w:p>
    <w:p/>
    <w:p>
      <w:pPr>
        <w:jc w:val="start"/>
        <w:bidi/>
      </w:pPr>
      <w:r>
        <w:rPr>
          <w:sz w:val="24"/>
          <w:szCs w:val="24"/>
          <w:b w:val="1"/>
          <w:bCs w:val="1"/>
          <w:rtl/>
        </w:rPr>
        <w:t xml:space="preserve">
إتمام الأعلام،(دار صادر - بيروت،1999،ط 1،ج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2026-10-11T16:28:44+03:00</dcterms:created>
  <dcterms:modified xsi:type="dcterms:W3CDTF">2026-10-11T16:28:44+03:00</dcterms:modified>
</cp:coreProperties>
</file>

<file path=docProps/custom.xml><?xml version="1.0" encoding="utf-8"?>
<Properties xmlns="http://schemas.openxmlformats.org/officeDocument/2006/custom-properties" xmlns:vt="http://schemas.openxmlformats.org/officeDocument/2006/docPropsVTypes"/>
</file>