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النساج
</w:t>
      </w:r>
    </w:p>
    <w:p>
      <w:pPr>
        <w:jc w:val="start"/>
        <w:bidi/>
      </w:pPr>
      <w:r>
        <w:rPr>
          <w:rFonts w:ascii="arial" w:hAnsi="arial" w:eastAsia="arial" w:cs="arial"/>
          <w:sz w:val="28"/>
          <w:szCs w:val="28"/>
          <w:b w:val="1"/>
          <w:bCs w:val="1"/>
          <w:rtl/>
        </w:rPr>
        <w:t xml:space="preserve">النساج
</w:t>
      </w:r>
    </w:p>
    <w:p>
      <w:pPr/>
      <w:r>
        <w:rPr/>
        <w:t xml:space="preserve">النساج  سيد حامد النساج: من النقاد المحدثين، ولد في إحدى قرى محافظة القليوبية. حصل على إجازة اللغة العربية والماجستير والدكتوراه من جامعة القاهرة. عمل مدرسا بكلية الفنون وكان أستاذ الأدب العربي وعميد كلية التربية بجامعة حلوان. عضو مؤسس بإدارة اتحاد الكتاب المصريين عضو نادي القصة وجمعية الأدباء ولجنة القصة بالمجلس الأعلى للثقافة عضو بلجنة جوائز الدولة التشجيعية في القصة والرواية عضو باللجنة العليا للتخطيط الدرامي على مستوى الإذاعة المصرية. زادت مؤلفاته عن أربعين، من أهمها (تطور فن القصة القصيرة في مصر)، (دليل القصة المصرية القصيرة)، (الأدب العربي المعاصر في المغرب الأقصى)، (مصر وظاهرة الثورة)، (حول الفكر الاشتراكي)، (أوراق من هنا وهناك) وله بحوث في أدب بعض القصاصين المصريين. وترجمت أعماله إلى الإنكليزية والإسبانية. ونشرت بعض بحوثه في جريدة (الفيغارو) الفرنسية، وفي معظم المجلات العربية ودارت أهم دراساته حول المدرسة البنيوية في النقد الحديث.</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2026-10-11T14:28:48+03:00</dcterms:created>
  <dcterms:modified xsi:type="dcterms:W3CDTF">2026-10-11T14:28:48+03:00</dcterms:modified>
</cp:coreProperties>
</file>

<file path=docProps/custom.xml><?xml version="1.0" encoding="utf-8"?>
<Properties xmlns="http://schemas.openxmlformats.org/officeDocument/2006/custom-properties" xmlns:vt="http://schemas.openxmlformats.org/officeDocument/2006/docPropsVTypes"/>
</file>