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سنية قراعة
</w:t>
      </w:r>
    </w:p>
    <w:p>
      <w:pPr>
        <w:jc w:val="start"/>
        <w:bidi/>
      </w:pPr>
      <w:r>
        <w:rPr>
          <w:rFonts w:ascii="arial" w:hAnsi="arial" w:eastAsia="arial" w:cs="arial"/>
          <w:sz w:val="28"/>
          <w:szCs w:val="28"/>
          <w:b w:val="1"/>
          <w:bCs w:val="1"/>
          <w:rtl/>
        </w:rPr>
        <w:t xml:space="preserve">سنية قراعة
</w:t>
      </w:r>
    </w:p>
    <w:p>
      <w:pPr/>
      <w:r>
        <w:rPr/>
        <w:t xml:space="preserve">سنية قراعة  سنية قراعة: أديبة. عملت مديرة لمكتب الصحافة الدولي الذي نشر جل مؤلفاتها. كتبت قصصا من تاريخ العرب والإسلام والفراعنة. منها (نفرتيتي)، (ست الملك الفاطمية)، (نساء محمد)، (من وحي السماء)، (مساجد ودول)، (الإسكندر الأكبر)، (أم الملوك هند بنت عتبة)، (عروس الزهد رابعة العدوية)، (الرسالات الكبرى)، (ذات النطاقين)، (تاريخ الأزهر)، (مسلمات خالدات)، (نمر السياسة المصرية إسماعيل صدقي)، (الفتح الأكبر) مسرحية. (البحث عن السعادة).</w:t>
      </w:r>
    </w:p>
    <w:p/>
    <w:p>
      <w:pPr>
        <w:jc w:val="start"/>
        <w:bidi/>
      </w:pPr>
      <w:r>
        <w:rPr>
          <w:sz w:val="24"/>
          <w:szCs w:val="24"/>
          <w:b w:val="1"/>
          <w:bCs w:val="1"/>
          <w:rtl/>
        </w:rPr>
        <w:t xml:space="preserve">
إتمام الأعلام،(دار صادر - بيروت،1999،ط 1،ج 1،ص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2026-10-11T13:35:49+03:00</dcterms:created>
  <dcterms:modified xsi:type="dcterms:W3CDTF">2026-10-11T13:35:49+03:00</dcterms:modified>
</cp:coreProperties>
</file>

<file path=docProps/custom.xml><?xml version="1.0" encoding="utf-8"?>
<Properties xmlns="http://schemas.openxmlformats.org/officeDocument/2006/custom-properties" xmlns:vt="http://schemas.openxmlformats.org/officeDocument/2006/docPropsVTypes"/>
</file>