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الصفواني
</w:t>
      </w:r>
    </w:p>
    <w:p>
      <w:pPr>
        <w:jc w:val="start"/>
        <w:bidi/>
      </w:pPr>
      <w:r>
        <w:rPr>
          <w:rFonts w:ascii="arial" w:hAnsi="arial" w:eastAsia="arial" w:cs="arial"/>
          <w:sz w:val="28"/>
          <w:szCs w:val="28"/>
          <w:b w:val="1"/>
          <w:bCs w:val="1"/>
          <w:rtl/>
        </w:rPr>
        <w:t xml:space="preserve">الصفواني
</w:t>
      </w:r>
    </w:p>
    <w:p>
      <w:pPr/>
      <w:r>
        <w:rPr/>
        <w:t xml:space="preserve">الصفواني  سلمان صالح الصفواني: وزير من الأدباء. ولد في صفوى بالمنطقة الشرقية من الجزيرة العربية، ويرجع نسبه إلى آل علي حكام حائل قبل آل الرشيد، تعلم بالبحرين وبالنجف، وتنقل في وظائف عدة بالعراق، وانخرط بالحركات العراقية المناوئة للإنكليز فشارك في حرب الرمثية وعارض معاهدة 1922 التي تضع العراق تحت الحكم البريطاني فنفي إلى الهند، وعاد متخفيا فاعتقل. أصدر جريدة (اليقظة)، وأغلقت مرات حتى توقفت، وتقلب في وظائف عديدة، واعتقل بتهمة المشاركة بثورة العشائر 1936 وأطلق ثم أعيد اعتقاله بعد ثورة رشيد عالي الكيلاني وتولى وزارة الثقافة زمن عبد السلام عارف وأخيه عبد الرحمن عارف. له (محكوميتي)، (أذن وعين)، (كفاحنا القومي)، (هذه هي الشعوبية)، (مواقف قومية)، (حرب البسوس)، (رواية الزرقاء).</w:t>
      </w:r>
    </w:p>
    <w:p/>
    <w:p>
      <w:pPr>
        <w:jc w:val="start"/>
        <w:bidi/>
      </w:pPr>
      <w:r>
        <w:rPr>
          <w:sz w:val="24"/>
          <w:szCs w:val="24"/>
          <w:b w:val="1"/>
          <w:bCs w:val="1"/>
          <w:rtl/>
        </w:rPr>
        <w:t xml:space="preserve">
إتمام الأعلام،(دار صادر - بيروت،1999،ط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2026-10-11T13:34:51+03:00</dcterms:created>
  <dcterms:modified xsi:type="dcterms:W3CDTF">2026-10-11T13:34:51+03:00</dcterms:modified>
</cp:coreProperties>
</file>

<file path=docProps/custom.xml><?xml version="1.0" encoding="utf-8"?>
<Properties xmlns="http://schemas.openxmlformats.org/officeDocument/2006/custom-properties" xmlns:vt="http://schemas.openxmlformats.org/officeDocument/2006/docPropsVTypes"/>
</file>