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الهيتي
</w:t>
      </w:r>
    </w:p>
    <w:p>
      <w:pPr>
        <w:jc w:val="start"/>
        <w:bidi/>
      </w:pPr>
      <w:r>
        <w:rPr>
          <w:rFonts w:ascii="arial" w:hAnsi="arial" w:eastAsia="arial" w:cs="arial"/>
          <w:sz w:val="28"/>
          <w:szCs w:val="28"/>
          <w:b w:val="1"/>
          <w:bCs w:val="1"/>
          <w:rtl/>
        </w:rPr>
        <w:t xml:space="preserve">رشاد الهيتي
</w:t>
      </w:r>
    </w:p>
    <w:p>
      <w:pPr/>
      <w:r>
        <w:rPr/>
        <w:t xml:space="preserve">رشاد الهيتي  رشاد بن محمد سعيد الخطيب الهيتي: عالم خطيب، ولد في هيت بالعراق لأسرة تنسب إلى الحسن بن علي رضي الله عنهما، وتعلم ببغداد وتلقى عن علمائها، وعين إماما في الجيش. خطب بمساجد العاصمة العراقية وأم بها وحاضر بمدرسة القرآن التابعة لرئاسة ديوان الأوقاف، اختير عضوا في جمعية اتحاد المؤلفين والكتاب العراقيين وفي جمعية المحاربين وفي رابطة علماء بغداد، شيد مسجدا بمسقط رأسه، له مؤلفات منها (هيت في إطارها القديم والحديث) جزآن، وترك مخطوطات منها ديوان شعره.</w:t>
      </w:r>
    </w:p>
    <w:p/>
    <w:p>
      <w:pPr>
        <w:jc w:val="start"/>
        <w:bidi/>
      </w:pPr>
      <w:r>
        <w:rPr>
          <w:sz w:val="24"/>
          <w:szCs w:val="24"/>
          <w:b w:val="1"/>
          <w:bCs w:val="1"/>
          <w:rtl/>
        </w:rPr>
        <w:t xml:space="preserve">
إتمام الأعلام،(دار صادر - بيروت،1999،ط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2026-07-28T05:10:32+03:00</dcterms:created>
  <dcterms:modified xsi:type="dcterms:W3CDTF">2026-07-28T05:10:32+03:00</dcterms:modified>
</cp:coreProperties>
</file>

<file path=docProps/custom.xml><?xml version="1.0" encoding="utf-8"?>
<Properties xmlns="http://schemas.openxmlformats.org/officeDocument/2006/custom-properties" xmlns:vt="http://schemas.openxmlformats.org/officeDocument/2006/docPropsVTypes"/>
</file>