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تقي الدين
</w:t>
      </w:r>
    </w:p>
    <w:p>
      <w:pPr>
        <w:jc w:val="start"/>
        <w:bidi/>
      </w:pPr>
      <w:r>
        <w:rPr>
          <w:rFonts w:ascii="arial" w:hAnsi="arial" w:eastAsia="arial" w:cs="arial"/>
          <w:sz w:val="28"/>
          <w:szCs w:val="28"/>
          <w:b w:val="1"/>
          <w:bCs w:val="1"/>
          <w:rtl/>
        </w:rPr>
        <w:t xml:space="preserve">خليل تقي الدين
</w:t>
      </w:r>
    </w:p>
    <w:p>
      <w:pPr/>
      <w:r>
        <w:rPr/>
        <w:t xml:space="preserve">خليل تقي الدين  خليل محمود تقي الدين: أديب صحفي من لبنان، ولد في بعقلين وتعلم في (اللاييك) ونال إجازة الحقوق من الجامعة اليسوعية، عين مديرا عاما من الدرجة الأولى لمجلس النواب ونقل إلى السلك الدبلوماسي سفيرا في عدد من الدول العربية والأجنبية، كان أحد مؤسسي (عصبة العشرة) وهم في الحقيقة أربعة: إلياس أبو شبكة وفؤاد حبيش وميشال أبو شهلا بالإضافة إليه، منح وسام الأرز الوطني من رتبة كومندور وأوسمة عربية وأجنبية، له (عشر قصص)، (الإعدام)، قصص (خواطر ساذج)، (العائد)، (كارن وحسن)، والأخيران روايتان.</w:t>
      </w:r>
    </w:p>
    <w:p/>
    <w:p>
      <w:pPr>
        <w:jc w:val="start"/>
        <w:bidi/>
      </w:pPr>
      <w:r>
        <w:rPr>
          <w:sz w:val="24"/>
          <w:szCs w:val="24"/>
          <w:b w:val="1"/>
          <w:bCs w:val="1"/>
          <w:rtl/>
        </w:rPr>
        <w:t xml:space="preserve">
إتمام الأعلام،(دار صادر - بيروت،1999،ط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2026-10-11T10:31:55+03:00</dcterms:created>
  <dcterms:modified xsi:type="dcterms:W3CDTF">2026-10-11T10:31:55+03:00</dcterms:modified>
</cp:coreProperties>
</file>

<file path=docProps/custom.xml><?xml version="1.0" encoding="utf-8"?>
<Properties xmlns="http://schemas.openxmlformats.org/officeDocument/2006/custom-properties" xmlns:vt="http://schemas.openxmlformats.org/officeDocument/2006/docPropsVTypes"/>
</file>