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خطاب
</w:t>
      </w:r>
    </w:p>
    <w:p>
      <w:pPr>
        <w:jc w:val="start"/>
        <w:bidi/>
      </w:pPr>
      <w:r>
        <w:rPr>
          <w:rFonts w:ascii="arial" w:hAnsi="arial" w:eastAsia="arial" w:cs="arial"/>
          <w:sz w:val="28"/>
          <w:szCs w:val="28"/>
          <w:b w:val="1"/>
          <w:bCs w:val="1"/>
          <w:rtl/>
        </w:rPr>
        <w:t xml:space="preserve">خطاب
</w:t>
      </w:r>
    </w:p>
    <w:p>
      <w:pPr/>
      <w:r>
        <w:rPr/>
        <w:t xml:space="preserve">خطاب  حسين بن رضا بن حسين خطاب: شيخ القراء بدمشق، ولد بها، وتعلم في الكتاتيب، وحفظ القرآن الكريم صغيرا، ثم اشتغل نحاسا، تلهفت نفسه لطلب العلم، فاتصل بالشيخ حسن حبنكة الميداني، وقرأ عليه، وترقى، وصار مدرسا بمدرسته التي أسسها في جامع منجك، وجمع القراءات على محمد سليم الحلواني وعبد القادر القويدر وأحمد الحلواني الصغير، وآلت إليه مشيخة القراء، وأجمع عليه الكثيرون، انتخب نائبا في مجلس الأمة أيام الوحدة السورية المصرية وفي المجلس النيابي بعدها، كان خطيبا مفوها، سعى لبناء مساجد عديدة، من مصنفاته (إتحاف حرز الأماني برواية الأصبهاني)، (البيان في رسم القرآن)، (رسالة في العبادات)، (رسالة في الفرائض)، توفي بعمان، وحمل إلى دمشق، فدفن بها في جنازة قل نظيرها في تاريخ المدينة.</w:t>
      </w:r>
    </w:p>
    <w:p/>
    <w:p>
      <w:pPr>
        <w:jc w:val="start"/>
        <w:bidi/>
      </w:pPr>
      <w:r>
        <w:rPr>
          <w:sz w:val="24"/>
          <w:szCs w:val="24"/>
          <w:b w:val="1"/>
          <w:bCs w:val="1"/>
          <w:rtl/>
        </w:rPr>
        <w:t xml:space="preserve">
إتمام الأعلام،(دار صادر - بيروت،1999،ط 1،ج 1،ص 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2026-07-29T02:46:24+03:00</dcterms:created>
  <dcterms:modified xsi:type="dcterms:W3CDTF">2026-07-29T02:46:24+03:00</dcterms:modified>
</cp:coreProperties>
</file>

<file path=docProps/custom.xml><?xml version="1.0" encoding="utf-8"?>
<Properties xmlns="http://schemas.openxmlformats.org/officeDocument/2006/custom-properties" xmlns:vt="http://schemas.openxmlformats.org/officeDocument/2006/docPropsVTypes"/>
</file>